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Portfolio Governance Report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KI-Governance über das Unternehmensportfolio: sichtbar, steuerbar, exportierbar, nachweisbar. Keine Rechtskonformitäts-Bescheinigung.</w:t>
      </w:r>
    </w:p>
    <w:p>
      <w:pPr>
        <w:spacing w:after="20"/>
      </w:pPr>
      <w:r>
        <w:rPr>
          <w:b/>
          <w:sz w:val="18"/>
          <w:szCs w:val="18"/>
        </w:rPr>
        <w:t xml:space="preserve">Produkt: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Umfang: </w:t>
      </w:r>
      <w:r>
        <w:rPr>
          <w:sz w:val="18"/>
          <w:szCs w:val="18"/>
        </w:rPr>
        <w:t xml:space="preserve">Alle registrierten KI-Use-Cases (synthetisch)</w:t>
      </w:r>
    </w:p>
    <w:p>
      <w:pPr>
        <w:spacing w:after="20"/>
      </w:pPr>
      <w:r>
        <w:rPr>
          <w:b/>
          <w:sz w:val="18"/>
          <w:szCs w:val="18"/>
        </w:rPr>
        <w:t xml:space="preserve">Sprache: </w:t>
      </w:r>
      <w:r>
        <w:rPr>
          <w:sz w:val="18"/>
          <w:szCs w:val="18"/>
        </w:rPr>
        <w:t xml:space="preserve">DE</w:t>
      </w:r>
    </w:p>
    <w:p>
      <w:pPr>
        <w:spacing w:after="20"/>
      </w:pPr>
      <w:r>
        <w:rPr>
          <w:b/>
          <w:sz w:val="18"/>
          <w:szCs w:val="18"/>
        </w:rPr>
        <w:t xml:space="preserve">Datenmodus: </w:t>
      </w:r>
      <w:r>
        <w:rPr>
          <w:sz w:val="18"/>
          <w:szCs w:val="18"/>
        </w:rPr>
        <w:t xml:space="preserve">synthetisch</w:t>
      </w:r>
    </w:p>
    <w:p>
      <w:pPr>
        <w:spacing w:after="20"/>
      </w:pPr>
      <w:r>
        <w:rPr>
          <w:b/>
          <w:sz w:val="18"/>
          <w:szCs w:val="18"/>
        </w:rPr>
        <w:t xml:space="preserve">Erstellt am: </w:t>
      </w:r>
      <w:r>
        <w:rPr>
          <w:sz w:val="18"/>
          <w:szCs w:val="18"/>
        </w:rPr>
        <w:t xml:space="preserve">2026-09-04T03:52:15.179Z</w:t>
      </w:r>
    </w:p>
    <w:p>
      <w:pPr>
        <w:spacing w:after="20"/>
      </w:pPr>
      <w:r>
        <w:rPr>
          <w:b/>
          <w:sz w:val="18"/>
          <w:szCs w:val="18"/>
        </w:rPr>
        <w:t xml:space="preserve">KI-Use-Cases gesamt: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Integritäts-Hash: </w:t>
      </w:r>
      <w:r>
        <w:rPr>
          <w:sz w:val="18"/>
          <w:szCs w:val="18"/>
        </w:rPr>
        <w:t xml:space="preserve">45682ed9137a4d50…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Portfolio-Ansicht auf Basis synthetischer / Staging-Daten. Keine echten Personen-, Mieter- oder Mitarbeiterdaten.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Dieser Portfolio-Report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Executive Overview</w:t>
      </w:r>
    </w:p>
    <w:p>
      <w:pPr>
        <w:spacing w:after="20"/>
      </w:pPr>
      <w:r>
        <w:rPr>
          <w:b/>
          <w:sz w:val="18"/>
          <w:szCs w:val="18"/>
        </w:rPr>
        <w:t xml:space="preserve">KI-Use-Cases gesamt: </w:t>
      </w:r>
      <w:r>
        <w:rPr>
          <w:sz w:val="18"/>
          <w:szCs w:val="18"/>
        </w:rPr>
        <w:t xml:space="preserve">12</w:t>
      </w:r>
    </w:p>
    <w:p>
      <w:pPr>
        <w:spacing w:after="20"/>
      </w:pPr>
      <w:r>
        <w:rPr>
          <w:b/>
          <w:sz w:val="18"/>
          <w:szCs w:val="18"/>
        </w:rPr>
        <w:t xml:space="preserve">Systeme: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3/12 präsentierbar (geprüft + verankert)</w:t>
      </w:r>
    </w:p>
    <w:p>
      <w:pPr>
        <w:spacing w:after="20"/>
      </w:pPr>
      <w:r>
        <w:rPr>
          <w:b/>
          <w:sz w:val="18"/>
          <w:szCs w:val="18"/>
        </w:rPr>
        <w:t xml:space="preserve">Evidenz-Abdeckung: </w:t>
      </w:r>
      <w:r>
        <w:rPr>
          <w:sz w:val="18"/>
          <w:szCs w:val="18"/>
        </w:rPr>
        <w:t xml:space="preserve">681 Evidence-Ereignisse · 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Menschliche Aufsicht (Portfolio): </w:t>
      </w:r>
      <w:r>
        <w:rPr>
          <w:sz w:val="18"/>
          <w:szCs w:val="18"/>
        </w:rPr>
        <w:t xml:space="preserve">3/12 mit verantwortlichem Menschen</w:t>
      </w:r>
    </w:p>
    <w:p>
      <w:pPr>
        <w:spacing w:after="20"/>
      </w:pPr>
      <w:r>
        <w:rPr>
          <w:b/>
          <w:sz w:val="18"/>
          <w:szCs w:val="18"/>
        </w:rPr>
        <w:t xml:space="preserve">Offene Owner-Entscheidungen: </w:t>
      </w:r>
      <w:r>
        <w:rPr>
          <w:sz w:val="18"/>
          <w:szCs w:val="18"/>
        </w:rPr>
        <w:t xml:space="preserve">9</w:t>
      </w:r>
    </w:p>
    <w:p>
      <w:pPr>
        <w:spacing w:after="20"/>
      </w:pPr>
      <w:r>
        <w:rPr>
          <w:b/>
          <w:sz w:val="18"/>
          <w:szCs w:val="18"/>
        </w:rPr>
        <w:t xml:space="preserve">Offene hochrisiko-nahe Punkte: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System-Abdeckung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510"/>
        <w:gridCol w:w="1510"/>
        <w:gridCol w:w="1510"/>
        <w:gridCol w:w="1510"/>
        <w:gridCol w:w="1510"/>
        <w:gridCol w:w="1510"/>
      </w:tblGrid>
      <w:tr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Quellsystem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KI-Use-Cases gesamt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Höchste Risikoklasse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Offene Kontrollen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Geprüfte Kontrollen</w:t>
            </w:r>
          </w:p>
        </w:tc>
        <w:tc>
          <w:tcPr>
            <w:tcW w:w="151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Anzahl Evidence-Ereignisse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causax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Hochrisiko-nah — verpflichtende menschliche Aufsicht, externe Rechtsprüfung empfohlen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173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dialekt-x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Begrenztes Risiko — Transparenzpflichten prüfen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humanx-ois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Hochrisiko-nah — verpflichtende menschliche Aufsicht, externe Rechtsprüfung empfohlen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15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spacemytime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Begrenztes Risiko — Transparenzpflichten prüfen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22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decision-trust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Minimales Risiko — Basisdokumentation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miios-x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Begrenztes Risiko — Transparenzpflichten prüfen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</w:t>
            </w:r>
          </w:p>
        </w:tc>
      </w:tr>
      <w:tr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seos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Minimales Risiko — Basisdokumentation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  <w:tc>
          <w:tcPr>
            <w:tcW w:w="151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24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Risikoverteilung (vorläufig)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Nur vorläufige Governance-Klassifikation — ersetzt keine abschließende rechtliche Bewertung.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4530"/>
        <w:gridCol w:w="4530"/>
      </w:tblGrid>
      <w:tr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Risikoklasse</w:t>
            </w:r>
          </w:p>
        </w:tc>
        <w:tc>
          <w:tcPr>
            <w:tcW w:w="453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Anzahl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Verdacht auf unzulässige Praktik — sofortige menschliche und rechtliche Prüfung erforderlich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Hochrisiko-nah — verpflichtende menschliche Aufsicht, externe Rechtsprüfung empfohlen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Erhöhtes Risiko — menschliche Prüfung erforderlich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Begrenztes Risiko — Transparenzpflichten prüfen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Minimales Risiko — Basisdokumentation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  <w:tr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Nicht klassifiziert</w:t>
            </w:r>
          </w:p>
        </w:tc>
        <w:tc>
          <w:tcPr>
            <w:tcW w:w="453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30"/>
          <w:szCs w:val="30"/>
        </w:rPr>
        <w:t xml:space="preserve">Policy-Kontroll-Abdeckung</w:t>
      </w:r>
    </w:p>
    <w:p>
      <w:pPr>
        <w:spacing w:after="20"/>
      </w:pPr>
      <w:r>
        <w:rPr>
          <w:b/>
          <w:sz w:val="18"/>
          <w:szCs w:val="18"/>
        </w:rPr>
        <w:t xml:space="preserve">Anwendbare Kontrollen gesamt: </w:t>
      </w:r>
      <w:r>
        <w:rPr>
          <w:sz w:val="18"/>
          <w:szCs w:val="18"/>
        </w:rPr>
        <w:t xml:space="preserve">55</w:t>
      </w:r>
    </w:p>
    <w:p>
      <w:pPr>
        <w:spacing w:after="20"/>
      </w:pPr>
      <w:r>
        <w:rPr>
          <w:b/>
          <w:sz w:val="18"/>
          <w:szCs w:val="18"/>
        </w:rPr>
        <w:t xml:space="preserve">Geprüft (Nachweise): </w:t>
      </w:r>
      <w:r>
        <w:rPr>
          <w:sz w:val="18"/>
          <w:szCs w:val="18"/>
        </w:rPr>
        <w:t xml:space="preserve">1</w:t>
      </w:r>
    </w:p>
    <w:p>
      <w:pPr>
        <w:spacing w:after="20"/>
      </w:pPr>
      <w:r>
        <w:rPr>
          <w:b/>
          <w:sz w:val="18"/>
          <w:szCs w:val="18"/>
        </w:rPr>
        <w:t xml:space="preserve">Nachweis angehängt: </w:t>
      </w:r>
      <w:r>
        <w:rPr>
          <w:sz w:val="18"/>
          <w:szCs w:val="18"/>
        </w:rPr>
        <w:t xml:space="preserve">6</w:t>
      </w:r>
    </w:p>
    <w:p>
      <w:pPr>
        <w:spacing w:after="20"/>
      </w:pPr>
      <w:r>
        <w:rPr>
          <w:b/>
          <w:sz w:val="18"/>
          <w:szCs w:val="18"/>
        </w:rPr>
        <w:t xml:space="preserve">Offen: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Nicht anwendbar: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Blockierte Kontrollen (hochrisiko-nah, gate-abhängig): </w:t>
      </w:r>
      <w:r>
        <w:rPr>
          <w:sz w:val="18"/>
          <w:szCs w:val="18"/>
        </w:rPr>
        <w:t xml:space="preserve">29</w:t>
      </w:r>
    </w:p>
    <w:p>
      <w:pPr>
        <w:spacing w:after="20"/>
      </w:pPr>
      <w:r>
        <w:rPr>
          <w:b/>
          <w:sz w:val="18"/>
          <w:szCs w:val="18"/>
        </w:rPr>
        <w:t xml:space="preserve">Kontrollen mit ausstehender menschlicher Prüfung: </w:t>
      </w:r>
      <w:r>
        <w:rPr>
          <w:sz w:val="18"/>
          <w:szCs w:val="18"/>
        </w:rPr>
        <w:t xml:space="preserve">46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Evidenz-Abdeckung</w:t>
      </w:r>
    </w:p>
    <w:p>
      <w:pPr>
        <w:spacing w:after="20"/>
      </w:pPr>
      <w:r>
        <w:rPr>
          <w:b/>
          <w:sz w:val="18"/>
          <w:szCs w:val="18"/>
        </w:rPr>
        <w:t xml:space="preserve">Evidence-Ereignisse: </w:t>
      </w:r>
      <w:r>
        <w:rPr>
          <w:sz w:val="18"/>
          <w:szCs w:val="18"/>
        </w:rPr>
        <w:t xml:space="preserve">681</w:t>
      </w:r>
    </w:p>
    <w:p>
      <w:pPr>
        <w:spacing w:after="20"/>
      </w:pPr>
      <w:r>
        <w:rPr>
          <w:b/>
          <w:sz w:val="18"/>
          <w:szCs w:val="18"/>
        </w:rPr>
        <w:t xml:space="preserve">Status der Evidenz-Kette: </w:t>
      </w:r>
      <w:r>
        <w:rPr>
          <w:sz w:val="18"/>
          <w:szCs w:val="18"/>
        </w:rPr>
        <w:t xml:space="preserve">ungültig (Manipulationsverdacht)</w:t>
      </w:r>
    </w:p>
    <w:p>
      <w:pPr>
        <w:spacing w:after="20"/>
      </w:pPr>
      <w:r>
        <w:rPr>
          <w:b/>
          <w:sz w:val="18"/>
          <w:szCs w:val="18"/>
        </w:rPr>
        <w:t xml:space="preserve">Erzeugte Report-Exporte: </w:t>
      </w:r>
      <w:r>
        <w:rPr>
          <w:sz w:val="18"/>
          <w:szCs w:val="18"/>
        </w:rPr>
        <w:t xml:space="preserve">240</w:t>
      </w:r>
    </w:p>
    <w:p>
      <w:pPr>
        <w:spacing w:after="20"/>
      </w:pPr>
      <w:r>
        <w:rPr>
          <w:b/>
          <w:sz w:val="18"/>
          <w:szCs w:val="18"/>
        </w:rPr>
        <w:t xml:space="preserve">Letzter Evidenz-Zeitstempel: </w:t>
      </w:r>
      <w:r>
        <w:rPr>
          <w:sz w:val="18"/>
          <w:szCs w:val="18"/>
        </w:rPr>
        <w:t xml:space="preserve">2026-09-04T03:52:15.111Z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Simulierte Verankerung (PageCipher-Integration ausstehend) — als Simulation gekennzeichnet.</w:t>
      </w:r>
    </w:p>
    <w:p>
      <w:pPr>
        <w:spacing w:before="160" w:after="60"/>
      </w:pPr>
      <w:r>
        <w:rPr>
          <w:b/>
          <w:sz w:val="25"/>
          <w:szCs w:val="25"/>
        </w:rPr>
        <w:t xml:space="preserve">PageCipher-Ankerabdeckung</w:t>
      </w:r>
    </w:p>
    <w:p>
      <w:pPr>
        <w:spacing w:after="20"/>
      </w:pPr>
      <w:r>
        <w:rPr>
          <w:b/>
          <w:sz w:val="18"/>
          <w:szCs w:val="18"/>
        </w:rPr>
        <w:t xml:space="preserve">PageCipher-Integrationsstatus: </w:t>
      </w:r>
      <w:r>
        <w:rPr>
          <w:sz w:val="18"/>
          <w:szCs w:val="18"/>
        </w:rPr>
        <w:t xml:space="preserve">Aktiv (HTTP-Anbindung an PageCipher)</w:t>
      </w:r>
    </w:p>
    <w:p>
      <w:pPr>
        <w:spacing w:after="20"/>
      </w:pPr>
      <w:r>
        <w:rPr>
          <w:b/>
          <w:sz w:val="18"/>
          <w:szCs w:val="18"/>
        </w:rPr>
        <w:t xml:space="preserve">Verankerte Evidence-Ereignisse: </w:t>
      </w:r>
      <w:r>
        <w:rPr>
          <w:sz w:val="18"/>
          <w:szCs w:val="18"/>
        </w:rPr>
        <w:t xml:space="preserve">252</w:t>
      </w:r>
    </w:p>
    <w:p>
      <w:pPr>
        <w:spacing w:after="20"/>
      </w:pPr>
      <w:r>
        <w:rPr>
          <w:b/>
          <w:sz w:val="18"/>
          <w:szCs w:val="18"/>
        </w:rPr>
        <w:t xml:space="preserve">Ausstehende Anker: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Fehlgeschlagene Anker: </w:t>
      </w:r>
      <w:r>
        <w:rPr>
          <w:sz w:val="18"/>
          <w:szCs w:val="18"/>
        </w:rPr>
        <w:t xml:space="preserve">0</w:t>
      </w:r>
    </w:p>
    <w:p>
      <w:pPr>
        <w:spacing w:after="20"/>
      </w:pPr>
      <w:r>
        <w:rPr>
          <w:b/>
          <w:sz w:val="18"/>
          <w:szCs w:val="18"/>
        </w:rPr>
        <w:t xml:space="preserve">Verifiziert: </w:t>
      </w:r>
      <w:r>
        <w:rPr>
          <w:sz w:val="18"/>
          <w:szCs w:val="18"/>
        </w:rPr>
        <w:t xml:space="preserve">0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Der PageCipher-Anker belegt die Integrität und Herkunft der Evidenz — er bescheinigt keine Rechtskonformität.</w:t>
      </w:r>
    </w:p>
    <w:p>
      <w:pPr>
        <w:spacing w:before="160" w:after="60"/>
      </w:pPr>
      <w:r>
        <w:rPr>
          <w:b/>
          <w:sz w:val="30"/>
          <w:szCs w:val="30"/>
        </w:rPr>
        <w:t xml:space="preserve">Menschliche Aufsicht (Portfolio)</w:t>
      </w:r>
    </w:p>
    <w:p>
      <w:pPr>
        <w:spacing w:after="20"/>
      </w:pPr>
      <w:r>
        <w:rPr>
          <w:b/>
          <w:sz w:val="18"/>
          <w:szCs w:val="18"/>
        </w:rPr>
        <w:t xml:space="preserve">mit verantwortlichem Menschen: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ohne zugeordnete prüfende Person: </w:t>
      </w:r>
      <w:r>
        <w:rPr>
          <w:sz w:val="18"/>
          <w:szCs w:val="18"/>
        </w:rPr>
        <w:t xml:space="preserve">7</w:t>
      </w:r>
    </w:p>
    <w:p>
      <w:pPr>
        <w:spacing w:after="20"/>
      </w:pPr>
      <w:r>
        <w:rPr>
          <w:b/>
          <w:sz w:val="18"/>
          <w:szCs w:val="18"/>
        </w:rPr>
        <w:t xml:space="preserve">mit finaler menschlicher Freigabe: </w:t>
      </w:r>
      <w:r>
        <w:rPr>
          <w:sz w:val="18"/>
          <w:szCs w:val="18"/>
        </w:rPr>
        <w:t xml:space="preserve">3</w:t>
      </w:r>
    </w:p>
    <w:p>
      <w:pPr>
        <w:spacing w:after="20"/>
      </w:pPr>
      <w:r>
        <w:rPr>
          <w:b/>
          <w:sz w:val="18"/>
          <w:szCs w:val="18"/>
        </w:rPr>
        <w:t xml:space="preserve">blockiert bis Rechtsprüfung/Owner-GO: </w:t>
      </w:r>
      <w:r>
        <w:rPr>
          <w:sz w:val="18"/>
          <w:szCs w:val="18"/>
        </w:rPr>
        <w:t xml:space="preserve">1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Die menschliche Verantwortung bleibt verpflichtend; KI trifft keine automatischen Entscheidungen über Personen.</w:t>
      </w:r>
    </w:p>
    <w:p>
      <w:pPr>
        <w:spacing w:before="160" w:after="60"/>
      </w:pPr>
      <w:r>
        <w:rPr>
          <w:b/>
          <w:sz w:val="30"/>
          <w:szCs w:val="30"/>
        </w:rPr>
        <w:t xml:space="preserve">Offene Owner-Entscheidungen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Externe Rechtsprüfung erforderlich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Owner-Freigabe (GO) erforderlich — 2 (uc_cx_a01,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GO-DATA erforderlich (Verarbeitung echter Personendaten nicht freigegeben) — 3 (uc_cx_a01, uc_cx_c03, uc_humanx_skillmatch)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GO-PAGECIPHER erforderlich (reale Evidenz-Verankerung statt Simulation) — 1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Penetrationstest vor Produktiv-Go-Live erforderlich — 1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Board-Zusammenfassung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Stark: Governance ist pro Use Case dokumentiert — mit hash-verketteter Evidenz und menschlicher Aufsicht für hochrisiko-nahe Fälle.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Offen: Hochrisiko-nahe Use Cases benötigen externe Rechtsprüfung und Owner-Freigabe; PageCipher-Realverankerung und GO-DATA stehen aus.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Präsentierbar: Use Cases mit menschlicher Freigabe und verankerter Evidenz sind vorführbar; der GovernanceReport ist kundentauglich.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Noch nicht behauptbar: Keine Rechtskonformität, keine rechtliche Zusicherung und keine Verarbeitung echter Personendaten ohne Owner-GO/GO-DATA.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Rechtliche Hinweise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Portfolio-Report bescheinigt keine Rechtskonformität.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Nur vorläufige Governance-Klassifikation — ersetzt keine abschließende rechtliche Bewertung.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rechtliche Bewertung kann eine spezialisierte juristische Prüfung erfordern.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 werden keine echten personenbezogenen Daten verarbeitet, solange dies nicht ausdrücklich freigegeben ist.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 menschliche Verantwortung bleibt verpflichtend; KI trifft keine automatischen Entscheidungen über Personen.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Dieser Bericht dient der Governance- und Compliance-Vorbereitung auf Evidenzbasis. Er stellt keine Rechtsberatung, keine Zertifizierung und keine Konformitätsbescheinigung dar.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