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διακυβέρνηση AI σε όλο το εταιρικό χαρτοφυλάκιο: ορατή, ελεγχόμενη, εξαγώγιμη, τεκμηριώσιμη.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Εύρος: </w:t>
      </w:r>
      <w:r>
        <w:rPr>
          <w:sz w:val="18"/>
          <w:szCs w:val="18"/>
        </w:rPr>
        <w:t xml:space="preserve">Όλες οι καταχωρημένες περιπτώσεις χρήσης AI (συνθετικές)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2026-09-04T05:38:51.931Z</w:t>
      </w:r>
    </w:p>
    <w:p>
      <w:pPr>
        <w:spacing w:after="20"/>
      </w:pPr>
      <w:r>
        <w:rPr>
          <w:b/>
          <w:sz w:val="18"/>
          <w:szCs w:val="18"/>
        </w:rPr>
        <w:t xml:space="preserve">Συνολικές περιπτώσεις χρήσης AI: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15f4edb6e8c699ee…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Προβολή χαρτοφυλακίου βάσει συνθετικών / staging δεδομένων. Κανένα πραγματικό δεδομένο προσώπων, ενοικιαστών ή εργαζομένων.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χαρτοφυλακίου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Συνολικές περιπτώσεις χρήσης AI: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Συστήματα: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παρουσιάσιμες (ελεγμένες + αγκυρωμένες)</w:t>
      </w:r>
    </w:p>
    <w:p>
      <w:pPr>
        <w:spacing w:after="20"/>
      </w:pPr>
      <w:r>
        <w:rPr>
          <w:b/>
          <w:sz w:val="18"/>
          <w:szCs w:val="18"/>
        </w:rPr>
        <w:t xml:space="preserve">Κάλυψη αποδεικτικών στοιχείων: </w:t>
      </w:r>
      <w:r>
        <w:rPr>
          <w:sz w:val="18"/>
          <w:szCs w:val="18"/>
        </w:rPr>
        <w:t xml:space="preserve">719 Συμβάντα τεκμηρίων · 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Ανθρώπινη εποπτεία (χαρτοφυλάκιο): </w:t>
      </w:r>
      <w:r>
        <w:rPr>
          <w:sz w:val="18"/>
          <w:szCs w:val="18"/>
        </w:rPr>
        <w:t xml:space="preserve">3/12 με υπεύθυνο άνθρωπο</w:t>
      </w:r>
    </w:p>
    <w:p>
      <w:pPr>
        <w:spacing w:after="20"/>
      </w:pPr>
      <w:r>
        <w:rPr>
          <w:b/>
          <w:sz w:val="18"/>
          <w:szCs w:val="18"/>
        </w:rPr>
        <w:t xml:space="preserve">Ανοικτές αποφάσεις Owner: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Ανοικτά σημεία εγγύς υψηλού κινδύνου: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Κάλυψη συστημάτων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Σύστημα προέλευσης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Συνολικές περιπτώσεις χρήσης AI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Υψηλότερη κλάση κινδύνου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Ανοικτοί έλεγχοι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Ελεγμένοι έλεγχοι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Αριθμός συμβάντων τεκμηρίων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Εγγύς υψηλού κινδύνου — υποχρεωτική ανθρώπινη εποπτεία, συνιστάται εξωτερικός νομικός έλεγχος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Περιορισμένος κίνδυνος — ελέγξτε τις υποχρεώσεις διαφάνειας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Εγγύς υψηλού κινδύνου — υποχρεωτική ανθρώπινη εποπτεία, συνιστάται εξωτερικός νομικός έλεγχος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Περιορισμένος κίνδυνος — ελέγξτε τις υποχρεώσεις διαφάνειας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Ελάχιστος κίνδυνος — βασική τεκμηρίωση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Περιορισμένος κίνδυνος — ελέγξτε τις υποχρεώσεις διαφάνειας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Ελάχιστος κίνδυνος — βασική τεκμηρίωση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Κατανομή κινδύνου (προκαταρκτική)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Μόνο προκαταρκτική ταξινόμηση διακυβέρνησης — δεν αντικαθιστά οριστική νομική αξιολόγηση.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Κλάση κινδύνου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Αριθμός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Υπόνοια μη επιτρεπόμενης πρακτικής — απαιτείται άμεσος ανθρώπινος και νομικός έλεγχος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Εγγύς υψηλού κινδύνου — υποχρεωτική ανθρώπινη εποπτεία, συνιστάται εξωτερικός νομικός έλεγχος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Αυξημένος κίνδυνος — απαιτείται ανθρώπινος έλεγχος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Περιορισμένος κίνδυνος — ελέγξτε τις υποχρεώσεις διαφάνειας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Ελάχιστος κίνδυνος — βασική τεκμηρίωση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Μη ταξινομημένες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Κάλυψη ελέγχων πολιτικής</w:t>
      </w:r>
    </w:p>
    <w:p>
      <w:pPr>
        <w:spacing w:after="20"/>
      </w:pPr>
      <w:r>
        <w:rPr>
          <w:b/>
          <w:sz w:val="18"/>
          <w:szCs w:val="18"/>
        </w:rPr>
        <w:t xml:space="preserve">Συνολικοί εφαρμόσιμοι έλεγχοι: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Ελέγχθηκε (αποδεικτικά στοιχεία):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Επισυνάφθηκε αποδεικτικό στοιχείο: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Ανοικτό: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Μη εφαρμόσιμο: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Μπλοκαρισμένοι έλεγχοι (εγγύς υψηλού κινδύνου, εξαρτώμενοι από gate):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Έλεγχοι με εκκρεμή ανθρώπινο έλεγχο: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Κάλυψη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Συμβάντα τεκμηρίων: </w:t>
      </w:r>
      <w:r>
        <w:rPr>
          <w:sz w:val="18"/>
          <w:szCs w:val="18"/>
        </w:rPr>
        <w:t xml:space="preserve">719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Παραχθέντα εξαγόμενα αναφορών: </w:t>
      </w:r>
      <w:r>
        <w:rPr>
          <w:sz w:val="18"/>
          <w:szCs w:val="18"/>
        </w:rPr>
        <w:t xml:space="preserve">259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χρονική σφραγίδα αποδεικτικού στοιχείου: </w:t>
      </w:r>
      <w:r>
        <w:rPr>
          <w:sz w:val="18"/>
          <w:szCs w:val="18"/>
        </w:rPr>
        <w:t xml:space="preserve">2026-09-04T05:38:21.176Z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Κάλυψη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Αγκυρωμένα συμβάντα τεκμηρίων: </w:t>
      </w:r>
      <w:r>
        <w:rPr>
          <w:sz w:val="18"/>
          <w:szCs w:val="18"/>
        </w:rPr>
        <w:t xml:space="preserve">271</w:t>
      </w:r>
    </w:p>
    <w:p>
      <w:pPr>
        <w:spacing w:after="20"/>
      </w:pPr>
      <w:r>
        <w:rPr>
          <w:b/>
          <w:sz w:val="18"/>
          <w:szCs w:val="18"/>
        </w:rPr>
        <w:t xml:space="preserve">Εκκρεμείς αγκυρώσεις: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Αποτυχημένες αγκυρώσεις: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Επαληθεύτηκε: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 (χαρτοφυλάκιο)</w:t>
      </w:r>
    </w:p>
    <w:p>
      <w:pPr>
        <w:spacing w:after="20"/>
      </w:pPr>
      <w:r>
        <w:rPr>
          <w:b/>
          <w:sz w:val="18"/>
          <w:szCs w:val="18"/>
        </w:rPr>
        <w:t xml:space="preserve">με υπεύθυνο άνθρωπο: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χωρίς ορισμένο πρόσωπο ελέγχου: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με τελική ανθρώπινη έγκριση: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μπλοκαρισμένο μέχρι νομικό έλεγχο/Owner-GO: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Ανοικτές αποφάσεις Owner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Απαιτείται εξωτερικός νομικός έλεγχος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Απαιτείται έγκριση Owner (GO)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Απαιτείται GO-DATA (η επεξεργασία πραγματικών προσωπικών δεδομένων δεν έχει εγκριθεί)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Απαιτείται GO-PAGECIPHER (πραγματική αγκύρωση αποδεικτικών στοιχείων αντί προσομοίωσης)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Απαιτείται δοκιμή διείσδυσης (penetration test) πριν από το παραγωγικό Go-Live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 Board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Ισχυρό: Η διακυβέρνηση είναι τεκμηριωμένη ανά περίπτωση χρήσης — με αλυσιδωτά συνδεδεμένα με hash αποδεικτικά στοιχεία και ανθρώπινη εποπτεία για τις περιπτώσεις εγγύς υψηλού κινδύνου.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Ανοικτό: Οι περιπτώσεις χρήσης εγγύς υψηλού κινδύνου χρειάζονται εξωτερικό νομικό έλεγχο και έγκριση Owner· η πραγματική αγκύρωση PageCipher και το GO-DATA εκκρεμούν.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Παρουσιάσιμο: Οι περιπτώσεις χρήσης με ανθρώπινη έγκριση και αγκυρωμένα αποδεικτικά στοιχεία είναι επιδείξιμες· η Αναφορά διακυβέρνησης είναι κατάλληλη για πελάτες.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Δεν μπορεί ακόμη να δηλωθεί: Καμία νομική συμμόρφωση, καμία νομική διαβεβαίωση και καμία επεξεργασία πραγματικών προσωπικών δεδομένων χωρίς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χαρτοφυλακίου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Μόνο προκαταρκτική ταξινόμηση διακυβέρνησης — δεν αντικαθιστά οριστική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Δεν επεξεργάζονται πραγματικά προσωπικά δεδομένα, εφόσον αυτό δεν έχει εγκριθεί ρητά.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