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Informe de gobernanza de cartera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gobernanza de IA sobre la cartera empresarial: visible, gobernable, exportable, demostrable. Ninguna certificación de conformidad jurídica.</w:t>
      </w:r>
    </w:p>
    <w:p>
      <w:pPr>
        <w:spacing w:after="20"/>
      </w:pPr>
      <w:r>
        <w:rPr>
          <w:b/>
          <w:sz w:val="18"/>
          <w:szCs w:val="18"/>
        </w:rPr>
        <w:t xml:space="preserve">Producto: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Alcance: </w:t>
      </w:r>
      <w:r>
        <w:rPr>
          <w:sz w:val="18"/>
          <w:szCs w:val="18"/>
        </w:rPr>
        <w:t xml:space="preserve">Todos los casos de uso de IA registrados (sintéticos)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ES</w:t>
      </w:r>
    </w:p>
    <w:p>
      <w:pPr>
        <w:spacing w:after="20"/>
      </w:pPr>
      <w:r>
        <w:rPr>
          <w:b/>
          <w:sz w:val="18"/>
          <w:szCs w:val="18"/>
        </w:rPr>
        <w:t xml:space="preserve">Modo de datos: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2026-09-04T07:17:49.155Z</w:t>
      </w:r>
    </w:p>
    <w:p>
      <w:pPr>
        <w:spacing w:after="20"/>
      </w:pPr>
      <w:r>
        <w:rPr>
          <w:b/>
          <w:sz w:val="18"/>
          <w:szCs w:val="18"/>
        </w:rPr>
        <w:t xml:space="preserve">Casos de uso de IA en total: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Hash de integridad: </w:t>
      </w:r>
      <w:r>
        <w:rPr>
          <w:sz w:val="18"/>
          <w:szCs w:val="18"/>
        </w:rPr>
        <w:t xml:space="preserve">9eb3eedb6f68ecb3…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Vista de cartera basada en datos sintéticos / de staging. Ningún dato real de personas, inquilinos o empleados.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de cartera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ejecutivo</w:t>
      </w:r>
    </w:p>
    <w:p>
      <w:pPr>
        <w:spacing w:after="20"/>
      </w:pPr>
      <w:r>
        <w:rPr>
          <w:b/>
          <w:sz w:val="18"/>
          <w:szCs w:val="18"/>
        </w:rPr>
        <w:t xml:space="preserve">Casos de uso de IA en total: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Sistemas: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Preparación para la gobernanza: </w:t>
      </w:r>
      <w:r>
        <w:rPr>
          <w:sz w:val="18"/>
          <w:szCs w:val="18"/>
        </w:rPr>
        <w:t xml:space="preserve">3/12 presentables (revisados + anclados)</w:t>
      </w:r>
    </w:p>
    <w:p>
      <w:pPr>
        <w:spacing w:after="20"/>
      </w:pPr>
      <w:r>
        <w:rPr>
          <w:b/>
          <w:sz w:val="18"/>
          <w:szCs w:val="18"/>
        </w:rPr>
        <w:t xml:space="preserve">Cobertura de evidencias: </w:t>
      </w:r>
      <w:r>
        <w:rPr>
          <w:sz w:val="18"/>
          <w:szCs w:val="18"/>
        </w:rPr>
        <w:t xml:space="preserve">875 Eventos de evidencia · 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Supervisión humana (cartera): </w:t>
      </w:r>
      <w:r>
        <w:rPr>
          <w:sz w:val="18"/>
          <w:szCs w:val="18"/>
        </w:rPr>
        <w:t xml:space="preserve">3/12 con persona responsable</w:t>
      </w:r>
    </w:p>
    <w:p>
      <w:pPr>
        <w:spacing w:after="20"/>
      </w:pPr>
      <w:r>
        <w:rPr>
          <w:b/>
          <w:sz w:val="18"/>
          <w:szCs w:val="18"/>
        </w:rPr>
        <w:t xml:space="preserve">Decisiones de owner abiertas: </w:t>
      </w:r>
      <w:r>
        <w:rPr>
          <w:sz w:val="18"/>
          <w:szCs w:val="18"/>
        </w:rPr>
        <w:t xml:space="preserve">9</w:t>
      </w:r>
    </w:p>
    <w:p>
      <w:pPr>
        <w:spacing w:after="20"/>
      </w:pPr>
      <w:r>
        <w:rPr>
          <w:b/>
          <w:sz w:val="18"/>
          <w:szCs w:val="18"/>
        </w:rPr>
        <w:t xml:space="preserve">Puntos abiertos cercanos a alto riesgo: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Cobertura de sistemas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510"/>
        <w:gridCol w:w="1510"/>
        <w:gridCol w:w="1510"/>
        <w:gridCol w:w="1510"/>
        <w:gridCol w:w="1510"/>
        <w:gridCol w:w="1510"/>
      </w:tblGrid>
      <w:tr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Sistema de origen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Casos de uso de IA en total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Clase de riesgo más alta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Controles abiertos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Controles revisados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Número de eventos de evidencia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causax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Cercano a alto riesgo — supervisión humana obligatoria, se recomienda revisión jurídica externa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214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dialekt-x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Riesgo limitado — comprobar las obligaciones de transparencia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humanx-ois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Cercano a alto riesgo — supervisión humana obligatoria, se recomienda revisión jurídica externa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spacemytime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Riesgo limitado — comprobar las obligaciones de transparencia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decision-trust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Riesgo mínimo — documentación básica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miios-x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Riesgo limitado — comprobar las obligaciones de transparencia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seos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Riesgo mínimo — documentación básica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31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Distribución de riesgos (preliminar)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Solo clasificación de gobernanza preliminar — no sustituye una evaluación jurídica concluyente.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4530"/>
        <w:gridCol w:w="4530"/>
      </w:tblGrid>
      <w:tr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Clase de riesgo</w:t>
            </w:r>
          </w:p>
        </w:tc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Número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Sospecha de práctica no permitida — se requiere revisión humana y jurídica inmediata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Cercano a alto riesgo — supervisión humana obligatoria, se recomienda revisión jurídica externa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Riesgo elevado — se requiere revisión humana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Riesgo limitado — comprobar las obligaciones de transparencia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Riesgo mínimo — documentación básica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No clasificados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Cobertura de controles de políticas</w:t>
      </w:r>
    </w:p>
    <w:p>
      <w:pPr>
        <w:spacing w:after="20"/>
      </w:pPr>
      <w:r>
        <w:rPr>
          <w:b/>
          <w:sz w:val="18"/>
          <w:szCs w:val="18"/>
        </w:rPr>
        <w:t xml:space="preserve">Controles aplicables en total: </w:t>
      </w:r>
      <w:r>
        <w:rPr>
          <w:sz w:val="18"/>
          <w:szCs w:val="18"/>
        </w:rPr>
        <w:t xml:space="preserve">55</w:t>
      </w:r>
    </w:p>
    <w:p>
      <w:pPr>
        <w:spacing w:after="20"/>
      </w:pPr>
      <w:r>
        <w:rPr>
          <w:b/>
          <w:sz w:val="18"/>
          <w:szCs w:val="18"/>
        </w:rPr>
        <w:t xml:space="preserve">Revisado (evidencias): </w:t>
      </w:r>
      <w:r>
        <w:rPr>
          <w:sz w:val="18"/>
          <w:szCs w:val="18"/>
        </w:rPr>
        <w:t xml:space="preserve">1</w:t>
      </w:r>
    </w:p>
    <w:p>
      <w:pPr>
        <w:spacing w:after="20"/>
      </w:pPr>
      <w:r>
        <w:rPr>
          <w:b/>
          <w:sz w:val="18"/>
          <w:szCs w:val="18"/>
        </w:rPr>
        <w:t xml:space="preserve">Evidencia adjuntada: </w:t>
      </w:r>
      <w:r>
        <w:rPr>
          <w:sz w:val="18"/>
          <w:szCs w:val="18"/>
        </w:rPr>
        <w:t xml:space="preserve">6</w:t>
      </w:r>
    </w:p>
    <w:p>
      <w:pPr>
        <w:spacing w:after="20"/>
      </w:pPr>
      <w:r>
        <w:rPr>
          <w:b/>
          <w:sz w:val="18"/>
          <w:szCs w:val="18"/>
        </w:rPr>
        <w:t xml:space="preserve">Abierto: </w:t>
      </w:r>
      <w:r>
        <w:rPr>
          <w:sz w:val="18"/>
          <w:szCs w:val="18"/>
        </w:rPr>
        <w:t xml:space="preserve">48</w:t>
      </w:r>
    </w:p>
    <w:p>
      <w:pPr>
        <w:spacing w:after="20"/>
      </w:pPr>
      <w:r>
        <w:rPr>
          <w:b/>
          <w:sz w:val="18"/>
          <w:szCs w:val="18"/>
        </w:rPr>
        <w:t xml:space="preserve">No aplicable: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Controles bloqueados (cercanos a alto riesgo, dependientes de gate): </w:t>
      </w:r>
      <w:r>
        <w:rPr>
          <w:sz w:val="18"/>
          <w:szCs w:val="18"/>
        </w:rPr>
        <w:t xml:space="preserve">29</w:t>
      </w:r>
    </w:p>
    <w:p>
      <w:pPr>
        <w:spacing w:after="20"/>
      </w:pPr>
      <w:r>
        <w:rPr>
          <w:b/>
          <w:sz w:val="18"/>
          <w:szCs w:val="18"/>
        </w:rPr>
        <w:t xml:space="preserve">Controles con revisión humana pendiente: </w:t>
      </w:r>
      <w:r>
        <w:rPr>
          <w:sz w:val="18"/>
          <w:szCs w:val="18"/>
        </w:rPr>
        <w:t xml:space="preserve">46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Cobertura de evidencias</w:t>
      </w:r>
    </w:p>
    <w:p>
      <w:pPr>
        <w:spacing w:after="20"/>
      </w:pPr>
      <w:r>
        <w:rPr>
          <w:b/>
          <w:sz w:val="18"/>
          <w:szCs w:val="18"/>
        </w:rPr>
        <w:t xml:space="preserve">Eventos de evidencia: </w:t>
      </w:r>
      <w:r>
        <w:rPr>
          <w:sz w:val="18"/>
          <w:szCs w:val="18"/>
        </w:rPr>
        <w:t xml:space="preserve">875</w:t>
      </w:r>
    </w:p>
    <w:p>
      <w:pPr>
        <w:spacing w:after="20"/>
      </w:pPr>
      <w:r>
        <w:rPr>
          <w:b/>
          <w:sz w:val="18"/>
          <w:szCs w:val="18"/>
        </w:rPr>
        <w:t xml:space="preserve">Estado de la cadena de evidencias: </w:t>
      </w:r>
      <w:r>
        <w:rPr>
          <w:sz w:val="18"/>
          <w:szCs w:val="18"/>
        </w:rPr>
        <w:t xml:space="preserve">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Exportaciones de informe generadas: </w:t>
      </w:r>
      <w:r>
        <w:rPr>
          <w:sz w:val="18"/>
          <w:szCs w:val="18"/>
        </w:rPr>
        <w:t xml:space="preserve">337</w:t>
      </w:r>
    </w:p>
    <w:p>
      <w:pPr>
        <w:spacing w:after="20"/>
      </w:pPr>
      <w:r>
        <w:rPr>
          <w:b/>
          <w:sz w:val="18"/>
          <w:szCs w:val="18"/>
        </w:rPr>
        <w:t xml:space="preserve">Última marca de tiempo de evidencia: </w:t>
      </w:r>
      <w:r>
        <w:rPr>
          <w:sz w:val="18"/>
          <w:szCs w:val="18"/>
        </w:rPr>
        <w:t xml:space="preserve">2026-09-04T07:11:52.569Z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Anclaje simulado (integración con PageCipher pendiente) — identificado como simulación.</w:t>
      </w:r>
    </w:p>
    <w:p>
      <w:pPr>
        <w:spacing w:before="160" w:after="60"/>
      </w:pPr>
      <w:r>
        <w:rPr>
          <w:b/>
          <w:sz w:val="25"/>
          <w:szCs w:val="25"/>
        </w:rPr>
        <w:t xml:space="preserve">Cobertura de anclaje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integración de PageCipher: </w:t>
      </w:r>
      <w:r>
        <w:rPr>
          <w:sz w:val="18"/>
          <w:szCs w:val="18"/>
        </w:rPr>
        <w:t xml:space="preserve">Activo (conexión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Eventos de evidencia anclados: </w:t>
      </w:r>
      <w:r>
        <w:rPr>
          <w:sz w:val="18"/>
          <w:szCs w:val="18"/>
        </w:rPr>
        <w:t xml:space="preserve">349</w:t>
      </w:r>
    </w:p>
    <w:p>
      <w:pPr>
        <w:spacing w:after="20"/>
      </w:pPr>
      <w:r>
        <w:rPr>
          <w:b/>
          <w:sz w:val="18"/>
          <w:szCs w:val="18"/>
        </w:rPr>
        <w:t xml:space="preserve">Anclas pendientes: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Anclas fallidas: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Verificado: </w:t>
      </w:r>
      <w:r>
        <w:rPr>
          <w:sz w:val="18"/>
          <w:szCs w:val="18"/>
        </w:rPr>
        <w:t xml:space="preserve">0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ancla PageCipher acredita la integridad y la procedencia de la evidencia —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Supervisión humana (cartera)</w:t>
      </w:r>
    </w:p>
    <w:p>
      <w:pPr>
        <w:spacing w:after="20"/>
      </w:pPr>
      <w:r>
        <w:rPr>
          <w:b/>
          <w:sz w:val="18"/>
          <w:szCs w:val="18"/>
        </w:rPr>
        <w:t xml:space="preserve">con persona responsable: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sin persona revisora asignada: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con aprobación humana final: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bloqueado hasta revisión jurídica/Owner-GO: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responsabilidad humana sigue siendo obligatoria; la IA no toma decisiones automáticas sobre personas.</w:t>
      </w:r>
    </w:p>
    <w:p>
      <w:pPr>
        <w:spacing w:before="160" w:after="60"/>
      </w:pPr>
      <w:r>
        <w:rPr>
          <w:b/>
          <w:sz w:val="30"/>
          <w:szCs w:val="30"/>
        </w:rPr>
        <w:t xml:space="preserve">Decisiones de owner abiertas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Se requiere revisión jurídica externa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Se requiere aprobación del owner (GO)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Se requiere GO-DATA (el tratamiento de datos personales reales no está autorizado) — 3 (uc_cx_a01, uc_cx_c03,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Se requiere GO-PAGECIPHER (anclaje real de evidencias en lugar de simulación) — 1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Se requiere un test de penetración antes del Go-Live productivo — 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Resumen para el Board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Sólido: La gobernanza está documentada por caso de uso — con evidencia encadenada por hash y supervisión humana para los casos cercanos a alto riesgo.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Abierto: Los casos de uso cercanos a alto riesgo requieren revisión jurídica externa y aprobación del owner; el anclaje real con PageCipher y GO-DATA están pendientes.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Presentable: Los casos de uso con aprobación humana y evidencia anclada se pueden presentar; el GovernanceReport es apto para clientes.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Todavía no afirmable: Ninguna conformidad jurídica, ninguna garantía jurídica y ningún tratamiento de datos personales reales sin Owner-GO/GO-DATA.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 legal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de cartera no certifica la conformidad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Solo clasificación de gobernanza preliminar — no sustituye una evaluación jurídica concluyente.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evaluación jurídica puede requerir una revisión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No se tratan datos personales reales mientras ello no esté expresamente autorizado.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responsabilidad humana sigue siendo obligatoria; la IA no toma decisiones automáticas sobre personas.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sirve para la preparación de la gobernanza y el cumplimiento sobre una base de evidencias. No constituye asesoramiento jurídico, certificación ni certificado de conformidad.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