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gouvernance de l'IA sur l'ensemble du portefeuille de l'entreprise : visible, pilotable, exportable, prouvable.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Périmètre: </w:t>
      </w:r>
      <w:r>
        <w:rPr>
          <w:sz w:val="18"/>
          <w:szCs w:val="18"/>
        </w:rPr>
        <w:t xml:space="preserve">Tous les cas d'usage IA enregistrés (synthétiques)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2026-09-04T05:39:20.687Z</w:t>
      </w:r>
    </w:p>
    <w:p>
      <w:pPr>
        <w:spacing w:after="20"/>
      </w:pPr>
      <w:r>
        <w:rPr>
          <w:b/>
          <w:sz w:val="18"/>
          <w:szCs w:val="18"/>
        </w:rPr>
        <w:t xml:space="preserve">Cas d'usage IA au total: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5323af1ea7ff022d…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Vue du portefeuille sur la base de données synthétiques / de staging. Aucune donnée réelle de personnes, de locataires ou de collaborateurs.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de portefeuille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Cas d'usage IA au total: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Systèmes: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3/12 présentable (examiné + ancré)</w:t>
      </w:r>
    </w:p>
    <w:p>
      <w:pPr>
        <w:spacing w:after="20"/>
      </w:pPr>
      <w:r>
        <w:rPr>
          <w:b/>
          <w:sz w:val="18"/>
          <w:szCs w:val="18"/>
        </w:rPr>
        <w:t xml:space="preserve">Couverture des preuves: </w:t>
      </w:r>
      <w:r>
        <w:rPr>
          <w:sz w:val="18"/>
          <w:szCs w:val="18"/>
        </w:rPr>
        <w:t xml:space="preserve">721 Événements de preuve · 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(portefeuille): </w:t>
      </w:r>
      <w:r>
        <w:rPr>
          <w:sz w:val="18"/>
          <w:szCs w:val="18"/>
        </w:rPr>
        <w:t xml:space="preserve">3/12 avec un humain responsable</w:t>
      </w:r>
    </w:p>
    <w:p>
      <w:pPr>
        <w:spacing w:after="20"/>
      </w:pPr>
      <w:r>
        <w:rPr>
          <w:b/>
          <w:sz w:val="18"/>
          <w:szCs w:val="18"/>
        </w:rPr>
        <w:t xml:space="preserve">Décisions du propriétaire en attente: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Points ouverts proches du haut risque: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Couverture des systèmes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Système source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Cas d'usage IA au total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Classe de risque la plus élevée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Contrôles ouverts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Contrôles examinés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Nombre d’événements de preuve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Proche du haut risque — supervision humaine obligatoire, examen juridique externe recommandé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limité — vérifier les obligations de transparence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Proche du haut risque — supervision humaine obligatoire, examen juridique externe recommandé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limité — vérifier les obligations de transparence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minimal — documentation de base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limité — vérifier les obligations de transparence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minimal — documentation de base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Répartition des risques (préliminaire)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Classification de gouvernance préliminaire uniquement — ne remplace pas une évaluation juridique définitive.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Classe de risque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Nombre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Suspicion de pratique interdite — examen humain et juridique immédiat requis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Proche du haut risque — supervision humaine obligatoire, examen juridique externe recommandé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élevé — examen humain requis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limité — vérifier les obligations de transparence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Risque minimal — documentation de base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Non classé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Couverture des contrôles de politique</w:t>
      </w:r>
    </w:p>
    <w:p>
      <w:pPr>
        <w:spacing w:after="20"/>
      </w:pPr>
      <w:r>
        <w:rPr>
          <w:b/>
          <w:sz w:val="18"/>
          <w:szCs w:val="18"/>
        </w:rPr>
        <w:t xml:space="preserve">Contrôles applicables au total: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Examiné (preuves):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Preuve jointe: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Ouvert: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Non applicable: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Contrôles bloqués (proches du haut risque, dépendants d'un gate):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Contrôles en attente d'examen humain: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Couverture des preuves</w:t>
      </w:r>
    </w:p>
    <w:p>
      <w:pPr>
        <w:spacing w:after="20"/>
      </w:pPr>
      <w:r>
        <w:rPr>
          <w:b/>
          <w:sz w:val="18"/>
          <w:szCs w:val="18"/>
        </w:rPr>
        <w:t xml:space="preserve">Événements de preuve: </w:t>
      </w:r>
      <w:r>
        <w:rPr>
          <w:sz w:val="18"/>
          <w:szCs w:val="18"/>
        </w:rPr>
        <w:t xml:space="preserve">721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Exports de rapports générés: </w:t>
      </w:r>
      <w:r>
        <w:rPr>
          <w:sz w:val="18"/>
          <w:szCs w:val="18"/>
        </w:rPr>
        <w:t xml:space="preserve">260</w:t>
      </w:r>
    </w:p>
    <w:p>
      <w:pPr>
        <w:spacing w:after="20"/>
      </w:pPr>
      <w:r>
        <w:rPr>
          <w:b/>
          <w:sz w:val="18"/>
          <w:szCs w:val="18"/>
        </w:rPr>
        <w:t xml:space="preserve">Dernier horodatage de preuve: </w:t>
      </w:r>
      <w:r>
        <w:rPr>
          <w:sz w:val="18"/>
          <w:szCs w:val="18"/>
        </w:rPr>
        <w:t xml:space="preserve">2026-09-04T05:38:51.953Z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p>
      <w:pPr>
        <w:spacing w:before="160" w:after="60"/>
      </w:pPr>
      <w:r>
        <w:rPr>
          <w:b/>
          <w:sz w:val="25"/>
          <w:szCs w:val="25"/>
        </w:rPr>
        <w:t xml:space="preserve">Couverture d'ancrage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Événements de preuve ancrés: </w:t>
      </w:r>
      <w:r>
        <w:rPr>
          <w:sz w:val="18"/>
          <w:szCs w:val="18"/>
        </w:rPr>
        <w:t xml:space="preserve">272</w:t>
      </w:r>
    </w:p>
    <w:p>
      <w:pPr>
        <w:spacing w:after="20"/>
      </w:pPr>
      <w:r>
        <w:rPr>
          <w:b/>
          <w:sz w:val="18"/>
          <w:szCs w:val="18"/>
        </w:rPr>
        <w:t xml:space="preserve">Ancres en attente: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Ancres échouées: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Vérifié: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 humaine (portefeuille)</w:t>
      </w:r>
    </w:p>
    <w:p>
      <w:pPr>
        <w:spacing w:after="20"/>
      </w:pPr>
      <w:r>
        <w:rPr>
          <w:b/>
          <w:sz w:val="18"/>
          <w:szCs w:val="18"/>
        </w:rPr>
        <w:t xml:space="preserve">avec un humain responsable: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sans personne examinatrice attribuée: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avec approbation humaine finale: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bloqué jusqu'à l'examen juridique/le GO du propriétaire: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30"/>
          <w:szCs w:val="30"/>
        </w:rPr>
        <w:t xml:space="preserve">Décisions du propriétaire en attente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Examen juridique externe requis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Approbation du propriétaire (GO) requise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GO-DATA requis (traitement de données personnelles réelles non autorisé)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GO-PAGECIPHER requis (ancrage réel des preuves au lieu d'une simulation)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Test d'intrusion requis avant la mise en production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Synthèse pour le Board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Solide: La gouvernance est documentée pour chaque cas d'usage — avec des preuves chaînées par hachage et une supervision humaine pour les cas proches du haut risque.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Ouvert: Les cas d'usage proches du haut risque nécessitent un examen juridique externe et l'approbation du propriétaire ; l'ancrage réel PageCipher et GO-DATA restent en attente.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Présentable: Les cas d'usage avec approbation humaine et preuves ancrées sont démontrables ; le GovernanceReport est présentable aux clients.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Pas encore affirmable: Aucune conformité juridique, aucune assurance juridique et aucun traitement de données personnelles réelles sans GO du propriétaire/GO-DATA.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de portefeuille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Classification de gouvernance préliminaire uniquement — ne remplace pas une évaluation juridique définitive.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Aucune donnée personnelle réelle n'est traitée tant que cela n'est pas expressément autorisé.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