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 dell'IA sull'intero portafoglio aziendale: visibile, gestibile, esportabile, dimostrabile.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Ambito: </w:t>
      </w:r>
      <w:r>
        <w:rPr>
          <w:sz w:val="18"/>
          <w:szCs w:val="18"/>
        </w:rPr>
        <w:t xml:space="preserve">Tutti i casi d'uso di IA registrati (sintetici)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2026-09-04T07:11:52.550Z</w:t>
      </w:r>
    </w:p>
    <w:p>
      <w:pPr>
        <w:spacing w:after="20"/>
      </w:pPr>
      <w:r>
        <w:rPr>
          <w:b/>
          <w:sz w:val="18"/>
          <w:szCs w:val="18"/>
        </w:rPr>
        <w:t xml:space="preserve">Casi d'uso di IA totali: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1765bf9593489e3f…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Vista di portafoglio basata su dati sintetici / di staging. Nessun dato reale di persone, inquilini o dipendenti.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di portafoglio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Casi d'uso di IA totali: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Sistemi: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presentabili (verificati + ancorati)</w:t>
      </w:r>
    </w:p>
    <w:p>
      <w:pPr>
        <w:spacing w:after="20"/>
      </w:pPr>
      <w:r>
        <w:rPr>
          <w:b/>
          <w:sz w:val="18"/>
          <w:szCs w:val="18"/>
        </w:rPr>
        <w:t xml:space="preserve">Copertura delle evidenze: </w:t>
      </w:r>
      <w:r>
        <w:rPr>
          <w:sz w:val="18"/>
          <w:szCs w:val="18"/>
        </w:rPr>
        <w:t xml:space="preserve">873 Eventi di evidenza · 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Supervisione umana (portafoglio): </w:t>
      </w:r>
      <w:r>
        <w:rPr>
          <w:sz w:val="18"/>
          <w:szCs w:val="18"/>
        </w:rPr>
        <w:t xml:space="preserve">3/12 con essere umano responsabile</w:t>
      </w:r>
    </w:p>
    <w:p>
      <w:pPr>
        <w:spacing w:after="20"/>
      </w:pPr>
      <w:r>
        <w:rPr>
          <w:b/>
          <w:sz w:val="18"/>
          <w:szCs w:val="18"/>
        </w:rPr>
        <w:t xml:space="preserve">Decisioni dell'owner aperte: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Punti aperti prossimi all'alto rischio: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Copertura dei sistemi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Sistema di origine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Casi d'uso di IA totali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di rischio più alta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Controlli aperti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Controlli verificati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Numero di eventi di evidenza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Prossimo all'alto rischio — supervisione umana obbligatoria, esame legale esterno raccomandato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limitato — verificare gli obblighi di trasparenza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Prossimo all'alto rischio — supervisione umana obbligatoria, esame legale esterno raccomandato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limitato — verificare gli obblighi di trasparenza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minimo — documentazione di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limitato — verificare gli obblighi di trasparenza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minimo — documentazione di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Distribuzione del rischio (preliminare)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Solo classificazione di governance preliminare — non sostituisce una valutazione giuridica conclusiva.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di rischio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Numero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Sospetto di pratica vietata — è necessario un esame umano e giuridico immediato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Prossimo all'alto rischio — supervisione umana obbligatoria, esame legale esterno raccomandato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elevato — è necessaria una verifica umana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limitato — verificare gli obblighi di trasparenza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Rischio minimo — documentazione di base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Non classificati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Copertura dei controlli di policy</w:t>
      </w:r>
    </w:p>
    <w:p>
      <w:pPr>
        <w:spacing w:after="20"/>
      </w:pPr>
      <w:r>
        <w:rPr>
          <w:b/>
          <w:sz w:val="18"/>
          <w:szCs w:val="18"/>
        </w:rPr>
        <w:t xml:space="preserve">Controlli applicabili totali: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Verificato (prove):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Prova allegata: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Aperto: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Non applicabile: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Controlli bloccati (prossimi all'alto rischio, dipendenti da gate):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Controlli con verifica umana in sospeso: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Copertura delle evidenze</w:t>
      </w:r>
    </w:p>
    <w:p>
      <w:pPr>
        <w:spacing w:after="20"/>
      </w:pPr>
      <w:r>
        <w:rPr>
          <w:b/>
          <w:sz w:val="18"/>
          <w:szCs w:val="18"/>
        </w:rPr>
        <w:t xml:space="preserve">Eventi di evidenza: </w:t>
      </w:r>
      <w:r>
        <w:rPr>
          <w:sz w:val="18"/>
          <w:szCs w:val="18"/>
        </w:rPr>
        <w:t xml:space="preserve">873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Esportazioni di report generate: </w:t>
      </w:r>
      <w:r>
        <w:rPr>
          <w:sz w:val="18"/>
          <w:szCs w:val="18"/>
        </w:rPr>
        <w:t xml:space="preserve">336</w:t>
      </w:r>
    </w:p>
    <w:p>
      <w:pPr>
        <w:spacing w:after="20"/>
      </w:pPr>
      <w:r>
        <w:rPr>
          <w:b/>
          <w:sz w:val="18"/>
          <w:szCs w:val="18"/>
        </w:rPr>
        <w:t xml:space="preserve">Ultima marca temporale delle evidenze: </w:t>
      </w:r>
      <w:r>
        <w:rPr>
          <w:sz w:val="18"/>
          <w:szCs w:val="18"/>
        </w:rPr>
        <w:t xml:space="preserve">2026-09-04T06:48:47.979Z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Copertura delle ancore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Eventi di evidenza ancorati: </w:t>
      </w:r>
      <w:r>
        <w:rPr>
          <w:sz w:val="18"/>
          <w:szCs w:val="18"/>
        </w:rPr>
        <w:t xml:space="preserve">348</w:t>
      </w:r>
    </w:p>
    <w:p>
      <w:pPr>
        <w:spacing w:after="20"/>
      </w:pPr>
      <w:r>
        <w:rPr>
          <w:b/>
          <w:sz w:val="18"/>
          <w:szCs w:val="18"/>
        </w:rPr>
        <w:t xml:space="preserve">Ancore in sospeso: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Ancore fallite: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Verificato: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Supervisione umana (portafoglio)</w:t>
      </w:r>
    </w:p>
    <w:p>
      <w:pPr>
        <w:spacing w:after="20"/>
      </w:pPr>
      <w:r>
        <w:rPr>
          <w:b/>
          <w:sz w:val="18"/>
          <w:szCs w:val="18"/>
        </w:rPr>
        <w:t xml:space="preserve">con essere umano responsabile: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senza persona verificatrice assegnata: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con approvazione umana finale: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bloccato fino a esame legale/Owner-GO: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30"/>
          <w:szCs w:val="30"/>
        </w:rPr>
        <w:t xml:space="preserve">Decisioni dell'owner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Esame legale esterno necessario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Approvazione dell'owner (GO) necessaria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GO-DATA necessario (trattamento di dati personali reali non autorizzato)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GO-PAGECIPHER necessario (ancoraggio reale delle evidenze anziché simulazione)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Penetration test necessario prima del go-live produttivo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Sintesi per il Board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Solida: La governance è documentata per ogni caso d'uso — con evidenze concatenate tramite hash e supervisione umana per i casi prossimi all'alto rischio.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Aperti: I casi d'uso prossimi all'alto rischio necessitano di esame legale esterno e approvazione dell'owner; l'ancoraggio reale PageCipher e il GO-DATA sono in sospeso.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Presentabile: I casi d'uso con approvazione umana ed evidenze ancorate sono dimostrabili; il Governance Report è adatto ai clienti.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Non ancora affermabile: Nessuna conformità giuridica, nessuna garanzia legale e nessun trattamento di dati personali reali senza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di portafoglio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Solo classificazione di governance preliminare — non sostituisce una valutazione giuridica conclusiva.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Non viene trattato alcun dato personale reale finché ciò non è espressamente autorizzato.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