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Portfolio Governance Report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AI-governance over het bedrijfsportfolio: zichtbaar, bestuurbaar, exporteerbaar, aantoonbaar. Geen bewijs van rechtsconformiteit.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Omvang: </w:t>
      </w:r>
      <w:r>
        <w:rPr>
          <w:sz w:val="18"/>
          <w:szCs w:val="18"/>
        </w:rPr>
        <w:t xml:space="preserve">Alle geregistreerde AI-use-cases (synthetisch)</w:t>
      </w:r>
    </w:p>
    <w:p>
      <w:pPr>
        <w:spacing w:after="20"/>
      </w:pPr>
      <w:r>
        <w:rPr>
          <w:b/>
          <w:sz w:val="18"/>
          <w:szCs w:val="18"/>
        </w:rPr>
        <w:t xml:space="preserve">Taal: </w:t>
      </w:r>
      <w:r>
        <w:rPr>
          <w:sz w:val="18"/>
          <w:szCs w:val="18"/>
        </w:rPr>
        <w:t xml:space="preserve">NL</w:t>
      </w:r>
    </w:p>
    <w:p>
      <w:pPr>
        <w:spacing w:after="20"/>
      </w:pPr>
      <w:r>
        <w:rPr>
          <w:b/>
          <w:sz w:val="18"/>
          <w:szCs w:val="18"/>
        </w:rPr>
        <w:t xml:space="preserve">Gegevensmodus: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2026-09-04T05:37:51.475Z</w:t>
      </w:r>
    </w:p>
    <w:p>
      <w:pPr>
        <w:spacing w:after="20"/>
      </w:pPr>
      <w:r>
        <w:rPr>
          <w:b/>
          <w:sz w:val="18"/>
          <w:szCs w:val="18"/>
        </w:rPr>
        <w:t xml:space="preserve">AI-use-cases totaal: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Integriteits-hash: </w:t>
      </w:r>
      <w:r>
        <w:rPr>
          <w:sz w:val="18"/>
          <w:szCs w:val="18"/>
        </w:rPr>
        <w:t xml:space="preserve">5b94827eacab63eb…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Portfolio-weergave op basis van synthetische / staging-gegevens. Geen echte persoons-, huurders- of medewerkersgegevens.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portfolio-rapport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Executive Overview</w:t>
      </w:r>
    </w:p>
    <w:p>
      <w:pPr>
        <w:spacing w:after="20"/>
      </w:pPr>
      <w:r>
        <w:rPr>
          <w:b/>
          <w:sz w:val="18"/>
          <w:szCs w:val="18"/>
        </w:rPr>
        <w:t xml:space="preserve">AI-use-cases totaal: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Systemen: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3/12 presenteerbaar (getoetst + verankerd)</w:t>
      </w:r>
    </w:p>
    <w:p>
      <w:pPr>
        <w:spacing w:after="20"/>
      </w:pPr>
      <w:r>
        <w:rPr>
          <w:b/>
          <w:sz w:val="18"/>
          <w:szCs w:val="18"/>
        </w:rPr>
        <w:t xml:space="preserve">Bewijsdekking: </w:t>
      </w:r>
      <w:r>
        <w:rPr>
          <w:sz w:val="18"/>
          <w:szCs w:val="18"/>
        </w:rPr>
        <w:t xml:space="preserve">715 Evidence-gebeurtenissen · ongeldig (vermoeden van manipulatie)</w:t>
      </w:r>
    </w:p>
    <w:p>
      <w:pPr>
        <w:spacing w:after="20"/>
      </w:pPr>
      <w:r>
        <w:rPr>
          <w:b/>
          <w:sz w:val="18"/>
          <w:szCs w:val="18"/>
        </w:rPr>
        <w:t xml:space="preserve">Menselijk toezicht (portfolio): </w:t>
      </w:r>
      <w:r>
        <w:rPr>
          <w:sz w:val="18"/>
          <w:szCs w:val="18"/>
        </w:rPr>
        <w:t xml:space="preserve">3/12 met verantwoordelijke mens</w:t>
      </w:r>
    </w:p>
    <w:p>
      <w:pPr>
        <w:spacing w:after="20"/>
      </w:pPr>
      <w:r>
        <w:rPr>
          <w:b/>
          <w:sz w:val="18"/>
          <w:szCs w:val="18"/>
        </w:rPr>
        <w:t xml:space="preserve">Openstaande owner-beslissingen: </w:t>
      </w:r>
      <w:r>
        <w:rPr>
          <w:sz w:val="18"/>
          <w:szCs w:val="18"/>
        </w:rPr>
        <w:t xml:space="preserve">9</w:t>
      </w:r>
    </w:p>
    <w:p>
      <w:pPr>
        <w:spacing w:after="20"/>
      </w:pPr>
      <w:r>
        <w:rPr>
          <w:b/>
          <w:sz w:val="18"/>
          <w:szCs w:val="18"/>
        </w:rPr>
        <w:t xml:space="preserve">Openstaande punten nabij hoog risico: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Systeemdekking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510"/>
        <w:gridCol w:w="1510"/>
        <w:gridCol w:w="1510"/>
        <w:gridCol w:w="1510"/>
        <w:gridCol w:w="1510"/>
        <w:gridCol w:w="1510"/>
      </w:tblGrid>
      <w:tr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Bronsysteem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AI-use-cases totaal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Hoogste risicoklasse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Openstaande controles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Getoetste controles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Aantal evidence-gebeurtenissen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causax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Nabij hoog risico — verplicht menselijk toezicht, externe juridische toetsing aanbevolen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180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dialekt-x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Beperkt risico — transparantieverplichtingen controleren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humanx-ois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Nabij hoog risico — verplicht menselijk toezicht, externe juridische toetsing aanbevolen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spacemytime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Beperkt risico — transparantieverplichtingen controleren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22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decision-trust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Minimaal risico — basisdocumentatie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26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miios-x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Beperkt risico — transparantieverplichtingen controleren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seos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Minimaal risico — basisdocumentatie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Risicoverdeling (voorlopig)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Alleen voorlopige governance-classificatie — vervangt geen definitieve juridische beoordeling.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4530"/>
        <w:gridCol w:w="4530"/>
      </w:tblGrid>
      <w:tr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Risicoklasse</w:t>
            </w:r>
          </w:p>
        </w:tc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Aantal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Vermoeden van een verboden praktijk — onmiddellijke menselijke en juridische toetsing vereist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Nabij hoog risico — verplicht menselijk toezicht, externe juridische toetsing aanbevolen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Verhoogd risico — menselijke toetsing vereist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Beperkt risico — transparantieverplichtingen controleren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Minimaal risico — basisdocumentatie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Niet geclassificeerd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Dekking van policy-controles</w:t>
      </w:r>
    </w:p>
    <w:p>
      <w:pPr>
        <w:spacing w:after="20"/>
      </w:pPr>
      <w:r>
        <w:rPr>
          <w:b/>
          <w:sz w:val="18"/>
          <w:szCs w:val="18"/>
        </w:rPr>
        <w:t xml:space="preserve">Toepasselijke controles totaal: </w:t>
      </w:r>
      <w:r>
        <w:rPr>
          <w:sz w:val="18"/>
          <w:szCs w:val="18"/>
        </w:rPr>
        <w:t xml:space="preserve">55</w:t>
      </w:r>
    </w:p>
    <w:p>
      <w:pPr>
        <w:spacing w:after="20"/>
      </w:pPr>
      <w:r>
        <w:rPr>
          <w:b/>
          <w:sz w:val="18"/>
          <w:szCs w:val="18"/>
        </w:rPr>
        <w:t xml:space="preserve">Getoetst (bewijzen): </w:t>
      </w:r>
      <w:r>
        <w:rPr>
          <w:sz w:val="18"/>
          <w:szCs w:val="18"/>
        </w:rPr>
        <w:t xml:space="preserve">1</w:t>
      </w:r>
    </w:p>
    <w:p>
      <w:pPr>
        <w:spacing w:after="20"/>
      </w:pPr>
      <w:r>
        <w:rPr>
          <w:b/>
          <w:sz w:val="18"/>
          <w:szCs w:val="18"/>
        </w:rPr>
        <w:t xml:space="preserve">Bewijs bijgevoegd: </w:t>
      </w:r>
      <w:r>
        <w:rPr>
          <w:sz w:val="18"/>
          <w:szCs w:val="18"/>
        </w:rPr>
        <w:t xml:space="preserve">6</w:t>
      </w:r>
    </w:p>
    <w:p>
      <w:pPr>
        <w:spacing w:after="20"/>
      </w:pPr>
      <w:r>
        <w:rPr>
          <w:b/>
          <w:sz w:val="18"/>
          <w:szCs w:val="18"/>
        </w:rPr>
        <w:t xml:space="preserve">Openstaand: </w:t>
      </w:r>
      <w:r>
        <w:rPr>
          <w:sz w:val="18"/>
          <w:szCs w:val="18"/>
        </w:rPr>
        <w:t xml:space="preserve">48</w:t>
      </w:r>
    </w:p>
    <w:p>
      <w:pPr>
        <w:spacing w:after="20"/>
      </w:pPr>
      <w:r>
        <w:rPr>
          <w:b/>
          <w:sz w:val="18"/>
          <w:szCs w:val="18"/>
        </w:rPr>
        <w:t xml:space="preserve">Niet van toepassing: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Geblokkeerde controles (nabij hoog risico, gate-afhankelijk): </w:t>
      </w:r>
      <w:r>
        <w:rPr>
          <w:sz w:val="18"/>
          <w:szCs w:val="18"/>
        </w:rPr>
        <w:t xml:space="preserve">29</w:t>
      </w:r>
    </w:p>
    <w:p>
      <w:pPr>
        <w:spacing w:after="20"/>
      </w:pPr>
      <w:r>
        <w:rPr>
          <w:b/>
          <w:sz w:val="18"/>
          <w:szCs w:val="18"/>
        </w:rPr>
        <w:t xml:space="preserve">Controles met openstaande menselijke toetsing: </w:t>
      </w:r>
      <w:r>
        <w:rPr>
          <w:sz w:val="18"/>
          <w:szCs w:val="18"/>
        </w:rPr>
        <w:t xml:space="preserve">46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Bewijsdekking</w:t>
      </w:r>
    </w:p>
    <w:p>
      <w:pPr>
        <w:spacing w:after="20"/>
      </w:pPr>
      <w:r>
        <w:rPr>
          <w:b/>
          <w:sz w:val="18"/>
          <w:szCs w:val="18"/>
        </w:rPr>
        <w:t xml:space="preserve">Evidence-gebeurtenissen: </w:t>
      </w:r>
      <w:r>
        <w:rPr>
          <w:sz w:val="18"/>
          <w:szCs w:val="18"/>
        </w:rPr>
        <w:t xml:space="preserve">715</w:t>
      </w:r>
    </w:p>
    <w:p>
      <w:pPr>
        <w:spacing w:after="20"/>
      </w:pPr>
      <w:r>
        <w:rPr>
          <w:b/>
          <w:sz w:val="18"/>
          <w:szCs w:val="18"/>
        </w:rPr>
        <w:t xml:space="preserve">Status van de bewijsketen: </w:t>
      </w:r>
      <w:r>
        <w:rPr>
          <w:sz w:val="18"/>
          <w:szCs w:val="18"/>
        </w:rPr>
        <w:t xml:space="preserve">ongeldig (vermoeden van manipulatie)</w:t>
      </w:r>
    </w:p>
    <w:p>
      <w:pPr>
        <w:spacing w:after="20"/>
      </w:pPr>
      <w:r>
        <w:rPr>
          <w:b/>
          <w:sz w:val="18"/>
          <w:szCs w:val="18"/>
        </w:rPr>
        <w:t xml:space="preserve">Gegenereerde rapportexports: </w:t>
      </w:r>
      <w:r>
        <w:rPr>
          <w:sz w:val="18"/>
          <w:szCs w:val="18"/>
        </w:rPr>
        <w:t xml:space="preserve">257</w:t>
      </w:r>
    </w:p>
    <w:p>
      <w:pPr>
        <w:spacing w:after="20"/>
      </w:pPr>
      <w:r>
        <w:rPr>
          <w:b/>
          <w:sz w:val="18"/>
          <w:szCs w:val="18"/>
        </w:rPr>
        <w:t xml:space="preserve">Laatste bewijstijdstempel: </w:t>
      </w:r>
      <w:r>
        <w:rPr>
          <w:sz w:val="18"/>
          <w:szCs w:val="18"/>
        </w:rPr>
        <w:t xml:space="preserve">2026-09-04T05:36:51.312Z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Gesimuleerde verankering (PageCipher-integratie in afwachting) — gemarkeerd als simulatie.</w:t>
      </w:r>
    </w:p>
    <w:p>
      <w:pPr>
        <w:spacing w:before="160" w:after="60"/>
      </w:pPr>
      <w:r>
        <w:rPr>
          <w:b/>
          <w:sz w:val="25"/>
          <w:szCs w:val="25"/>
        </w:rPr>
        <w:t xml:space="preserve">PageCipher-ankerdekking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PageCipher-integratiestatus: </w:t>
      </w:r>
      <w:r>
        <w:rPr>
          <w:sz w:val="18"/>
          <w:szCs w:val="18"/>
        </w:rPr>
        <w:t xml:space="preserve">Actief (HTTP-koppeling met PageCipher)</w:t>
      </w:r>
    </w:p>
    <w:p>
      <w:pPr>
        <w:spacing w:after="20"/>
      </w:pPr>
      <w:r>
        <w:rPr>
          <w:b/>
          <w:sz w:val="18"/>
          <w:szCs w:val="18"/>
        </w:rPr>
        <w:t xml:space="preserve">Verankerde evidence-gebeurtenissen: </w:t>
      </w:r>
      <w:r>
        <w:rPr>
          <w:sz w:val="18"/>
          <w:szCs w:val="18"/>
        </w:rPr>
        <w:t xml:space="preserve">269</w:t>
      </w:r>
    </w:p>
    <w:p>
      <w:pPr>
        <w:spacing w:after="20"/>
      </w:pPr>
      <w:r>
        <w:rPr>
          <w:b/>
          <w:sz w:val="18"/>
          <w:szCs w:val="18"/>
        </w:rPr>
        <w:t xml:space="preserve">Ankers in afwachting: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Mislukte ankers: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Geverifieerd: </w:t>
      </w:r>
      <w:r>
        <w:rPr>
          <w:sz w:val="18"/>
          <w:szCs w:val="18"/>
        </w:rPr>
        <w:t xml:space="preserve">0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Het PageCipher-anker toont de integriteit en herkomst van het bewijs aan — het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Menselijk toezicht (portfolio)</w:t>
      </w:r>
    </w:p>
    <w:p>
      <w:pPr>
        <w:spacing w:after="20"/>
      </w:pPr>
      <w:r>
        <w:rPr>
          <w:b/>
          <w:sz w:val="18"/>
          <w:szCs w:val="18"/>
        </w:rPr>
        <w:t xml:space="preserve">met verantwoordelijke mens: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zonder toegewezen toetsende persoon: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met finale menselijke goedkeuring: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geblokkeerd tot juridische toetsing/Owner-GO: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menselijke verantwoordelijkheid blijft verplicht; AI neemt geen automatische beslissingen over personen.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Openstaande owner-beslissingen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Externe juridische toetsing vereist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Owner-goedkeuring (GO) vereist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GO-DATA vereist (verwerking van echte persoonsgegevens niet vrijgegeven) — 3 (uc_cx_a01, uc_cx_c03,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GO-PAGECIPHER vereist (reële bewijsverankering in plaats van simulatie) — 1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Penetratietest vóór productieve go-live vereist — 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Board-samenvatting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Sterk: Governance is per use case gedocumenteerd — met hash-gekoppeld bewijs en menselijk toezicht voor gevallen nabij hoog risico.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Openstaand: Use cases nabij hoog risico vereisen externe juridische toetsing en owner-goedkeuring; reële PageCipher-verankering en GO-DATA staan nog uit.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Presenteerbaar: Use cases met menselijke goedkeuring en verankerd bewijs zijn te demonstreren; het Governance-rapport is geschikt voor klanten.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Nog niet te claimen: Geen rechtsconformiteit, geen juridische toezegging en geen verwerking van echte persoonsgegevens zonder Owner-GO/GO-DATA.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Juridische kennisgevingen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portfolio-rapport certificeert geen rechtsconformiteit.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Alleen voorlopige governance-classificatie — vervangt geen definitieve juridische beoordeling.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juridische beoordeling kan een gespecialiseerde juridische toetsing vereisen.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Er worden geen echte persoonsgegevens verwerkt zolang dit niet uitdrukkelijk is vrijgegeven.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menselijke verantwoordelijkheid blijft verplicht; AI neemt geen automatische beslissingen over personen.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dient ter voorbereiding van governance en compliance op basis van bewijs. Het vormt geen juridisch advies, geen certificering en geen conformiteitsverklaring.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