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b/>
          <w:sz w:val="44"/>
          <w:szCs w:val="44"/>
        </w:rPr>
        <w:t xml:space="preserve">Rapport de gouvernance — Évaluation du risque des candidats locataires assistée par IA (aide à la décision)</w:t>
      </w:r>
    </w:p>
    <w:p>
      <w:pPr>
        <w:spacing w:after="80"/>
      </w:pPr>
      <w:r>
        <w:rPr>
          <w:sz w:val="20"/>
          <w:szCs w:val="20"/>
          <w:color w:val="6B7280"/>
        </w:rPr>
        <w:t xml:space="preserve">HumanOSE — préparation à la gouvernance, appui à l'assurance et preuves prêtes pour l'audit. Aucune attestation de conformité juridique.</w:t>
      </w:r>
    </w:p>
    <w:p>
      <w:pPr>
        <w:spacing w:after="20"/>
      </w:pPr>
      <w:r>
        <w:rPr>
          <w:b/>
          <w:sz w:val="18"/>
          <w:szCs w:val="18"/>
        </w:rPr>
        <w:t xml:space="preserve">Produit: </w:t>
      </w:r>
      <w:r>
        <w:rPr>
          <w:sz w:val="18"/>
          <w:szCs w:val="18"/>
        </w:rPr>
        <w:t xml:space="preserve">HumanOSE</w:t>
      </w:r>
    </w:p>
    <w:p>
      <w:pPr>
        <w:spacing w:after="20"/>
      </w:pPr>
      <w:r>
        <w:rPr>
          <w:b/>
          <w:sz w:val="18"/>
          <w:szCs w:val="18"/>
        </w:rPr>
        <w:t xml:space="preserve">Cas d'usage: </w:t>
      </w:r>
      <w:r>
        <w:rPr>
          <w:sz w:val="18"/>
          <w:szCs w:val="18"/>
        </w:rPr>
        <w:t xml:space="preserve">uc_cx_a01 (v2)</w:t>
      </w:r>
    </w:p>
    <w:p>
      <w:pPr>
        <w:spacing w:after="20"/>
      </w:pPr>
      <w:r>
        <w:rPr>
          <w:b/>
          <w:sz w:val="18"/>
          <w:szCs w:val="18"/>
        </w:rPr>
        <w:t xml:space="preserve">Système source: </w:t>
      </w:r>
      <w:r>
        <w:rPr>
          <w:sz w:val="18"/>
          <w:szCs w:val="18"/>
        </w:rPr>
        <w:t xml:space="preserve">causax</w:t>
      </w:r>
    </w:p>
    <w:p>
      <w:pPr>
        <w:spacing w:after="20"/>
      </w:pPr>
      <w:r>
        <w:rPr>
          <w:b/>
          <w:sz w:val="18"/>
          <w:szCs w:val="18"/>
        </w:rPr>
        <w:t xml:space="preserve">Langue: </w:t>
      </w:r>
      <w:r>
        <w:rPr>
          <w:sz w:val="18"/>
          <w:szCs w:val="18"/>
        </w:rPr>
        <w:t xml:space="preserve">FR</w:t>
      </w:r>
    </w:p>
    <w:p>
      <w:pPr>
        <w:spacing w:after="20"/>
      </w:pPr>
      <w:r>
        <w:rPr>
          <w:b/>
          <w:sz w:val="18"/>
          <w:szCs w:val="18"/>
        </w:rPr>
        <w:t xml:space="preserve">Mode des données: </w:t>
      </w:r>
      <w:r>
        <w:rPr>
          <w:sz w:val="18"/>
          <w:szCs w:val="18"/>
        </w:rPr>
        <w:t xml:space="preserve">synthétique</w:t>
      </w:r>
    </w:p>
    <w:p>
      <w:pPr>
        <w:spacing w:after="20"/>
      </w:pPr>
      <w:r>
        <w:rPr>
          <w:b/>
          <w:sz w:val="18"/>
          <w:szCs w:val="18"/>
        </w:rPr>
        <w:t xml:space="preserve">Généré le: </w:t>
      </w:r>
      <w:r>
        <w:rPr>
          <w:sz w:val="18"/>
          <w:szCs w:val="18"/>
        </w:rPr>
        <w:t xml:space="preserve">2026-09-04T07:32:58.298Z</w:t>
      </w:r>
    </w:p>
    <w:p>
      <w:pPr>
        <w:spacing w:after="20"/>
      </w:pPr>
      <w:r>
        <w:rPr>
          <w:b/>
          <w:sz w:val="18"/>
          <w:szCs w:val="18"/>
        </w:rPr>
        <w:t xml:space="preserve">État du rapport: </w:t>
      </w:r>
      <w:r>
        <w:rPr>
          <w:sz w:val="18"/>
          <w:szCs w:val="18"/>
        </w:rPr>
        <w:t xml:space="preserve">Actif</w:t>
      </w:r>
    </w:p>
    <w:p>
      <w:pPr>
        <w:spacing w:after="20"/>
      </w:pPr>
      <w:r>
        <w:rPr>
          <w:b/>
          <w:sz w:val="18"/>
          <w:szCs w:val="18"/>
        </w:rPr>
        <w:t xml:space="preserve">Hachage d'intégrité: </w:t>
      </w:r>
      <w:r>
        <w:rPr>
          <w:sz w:val="18"/>
          <w:szCs w:val="18"/>
        </w:rPr>
        <w:t xml:space="preserve">494b9eafd8242332…</w:t>
      </w:r>
    </w:p>
    <w:p>
      <w:pPr>
        <w:spacing w:after="60"/>
      </w:pPr>
    </w:p>
    <w:p>
      <w:pPr>
        <w:shd w:val="clear" w:color="auto" w:fill="FDF5DB"/>
        <w:spacing w:before="40" w:after="80"/>
      </w:pPr>
      <w:r>
        <w:rPr>
          <w:sz w:val="18"/>
          <w:szCs w:val="18"/>
          <w:color w:val="664D07"/>
        </w:rPr>
        <w:t xml:space="preserve">Ce rapport repose exclusivement sur des données synthétiques (exploitation pilote). Aucune donnée personnelle réelle.</w:t>
      </w:r>
    </w:p>
    <w:p>
      <w:pPr>
        <w:shd w:val="clear" w:color="auto" w:fill="FDF5DB"/>
        <w:spacing w:before="40" w:after="80"/>
      </w:pPr>
      <w:r>
        <w:rPr>
          <w:sz w:val="18"/>
          <w:szCs w:val="18"/>
          <w:color w:val="664D07"/>
        </w:rPr>
        <w:t xml:space="preserve">Ce rapport ne certifie aucune conformité juridique.</w:t>
      </w:r>
    </w:p>
    <w:p>
      <w:pPr>
        <w:spacing w:before="160" w:after="60"/>
      </w:pPr>
      <w:r>
        <w:rPr>
          <w:b/>
          <w:sz w:val="30"/>
          <w:szCs w:val="30"/>
        </w:rPr>
        <w:t xml:space="preserve">Synthèse pour les décideurs</w:t>
      </w:r>
    </w:p>
    <w:p>
      <w:pPr>
        <w:spacing w:after="60"/>
      </w:pPr>
      <w:r>
        <w:rPr>
          <w:sz w:val="19"/>
          <w:szCs w:val="19"/>
        </w:rPr>
        <w:t xml:space="preserve">Un processus assisté par IA prépare, pour la décision de location, une évaluation structurée, expliquée et marquée par son incertitude (exhaustivité des documents, indices de plausibilité et de risque). Le pilote utilise exclusivement des profils synthétiques ; le modèle d'évaluation lui-même n'est pas implémenté dans le pilote, mais fait l'objet d'une gouvernance.</w:t>
      </w:r>
    </w:p>
    <w:p>
      <w:pPr>
        <w:spacing w:after="20"/>
      </w:pPr>
      <w:r>
        <w:rPr>
          <w:b/>
          <w:sz w:val="18"/>
          <w:szCs w:val="18"/>
        </w:rPr>
        <w:t xml:space="preserve">Finalité prévue: </w:t>
      </w:r>
      <w:r>
        <w:rPr>
          <w:sz w:val="18"/>
          <w:szCs w:val="18"/>
        </w:rPr>
        <w:t xml:space="preserve">Précisé (v2) : les décisions individuelles automatisées sont techniquement et organisationnellement exclues ; la voie de recours pour les personnes concernées fait partie du concept d'exploitation.</w:t>
      </w:r>
    </w:p>
    <w:p>
      <w:pPr>
        <w:spacing w:after="20"/>
      </w:pPr>
      <w:r>
        <w:rPr>
          <w:b/>
          <w:sz w:val="18"/>
          <w:szCs w:val="18"/>
        </w:rPr>
        <w:t xml:space="preserve">Classe de risque préliminaire: </w:t>
      </w:r>
      <w:r>
        <w:rPr>
          <w:sz w:val="18"/>
          <w:szCs w:val="18"/>
        </w:rPr>
        <w:t xml:space="preserve">Proche du haut risque — supervision humaine obligatoire, examen juridique externe recommandé</w:t>
      </w:r>
    </w:p>
    <w:p>
      <w:pPr>
        <w:spacing w:after="20"/>
      </w:pPr>
      <w:r>
        <w:rPr>
          <w:b/>
          <w:sz w:val="18"/>
          <w:szCs w:val="18"/>
        </w:rPr>
        <w:t xml:space="preserve">Supervision humaine requise: </w:t>
      </w:r>
      <w:r>
        <w:rPr>
          <w:sz w:val="18"/>
          <w:szCs w:val="18"/>
        </w:rPr>
        <w:t xml:space="preserve">Oui</w:t>
      </w:r>
    </w:p>
    <w:p>
      <w:pPr>
        <w:spacing w:after="20"/>
      </w:pPr>
      <w:r>
        <w:rPr>
          <w:b/>
          <w:sz w:val="18"/>
          <w:szCs w:val="18"/>
        </w:rPr>
        <w:t xml:space="preserve">Préparation à la gouvernance: </w:t>
      </w:r>
      <w:r>
        <w:rPr>
          <w:sz w:val="18"/>
          <w:szCs w:val="18"/>
        </w:rPr>
        <w:t xml:space="preserve">2/16 Contrôles avec preuve/examinés</w:t>
      </w:r>
    </w:p>
    <w:p>
      <w:pPr>
        <w:spacing w:after="40"/>
      </w:pPr>
    </w:p>
    <w:p>
      <w:pPr>
        <w:shd w:val="clear" w:color="auto" w:fill="FDF5DB"/>
        <w:spacing w:before="40" w:after="80"/>
      </w:pPr>
      <w:r>
        <w:rPr>
          <w:sz w:val="18"/>
          <w:szCs w:val="18"/>
          <w:color w:val="664D07"/>
        </w:rPr>
        <w:t xml:space="preserve">La préparation à la gouvernance désigne le degré de préparation (preuves disponibles/examinées) — elle ne certifie aucune conformité.</w:t>
      </w:r>
    </w:p>
    <w:p>
      <w:pPr>
        <w:spacing w:before="160" w:after="60"/>
      </w:pPr>
      <w:r>
        <w:rPr>
          <w:b/>
          <w:sz w:val="30"/>
          <w:szCs w:val="30"/>
        </w:rPr>
        <w:t xml:space="preserve">Profil du cas d'usage</w:t>
      </w:r>
    </w:p>
    <w:p>
      <w:pPr>
        <w:spacing w:after="20"/>
      </w:pPr>
      <w:r>
        <w:rPr>
          <w:b/>
          <w:sz w:val="18"/>
          <w:szCs w:val="18"/>
        </w:rPr>
        <w:t xml:space="preserve">Finalité prévue: </w:t>
      </w:r>
      <w:r>
        <w:rPr>
          <w:sz w:val="18"/>
          <w:szCs w:val="18"/>
        </w:rPr>
        <w:t xml:space="preserve">Précisé (v2) : les décisions individuelles automatisées sont techniquement et organisationnellement exclues ; la voie de recours pour les personnes concernées fait partie du concept d'exploitation.</w:t>
      </w:r>
    </w:p>
    <w:p>
      <w:pPr>
        <w:spacing w:after="20"/>
      </w:pPr>
      <w:r>
        <w:rPr>
          <w:b/>
          <w:sz w:val="18"/>
          <w:szCs w:val="18"/>
        </w:rPr>
        <w:t xml:space="preserve">Groupes de personnes concernées: </w:t>
      </w:r>
      <w:r>
        <w:rPr>
          <w:sz w:val="18"/>
          <w:szCs w:val="18"/>
        </w:rPr>
        <w:t xml:space="preserve">natuerliche_personen_mietinteressenten, mitarbeitende_verwaltung</w:t>
      </w:r>
    </w:p>
    <w:p>
      <w:pPr>
        <w:spacing w:after="20"/>
      </w:pPr>
      <w:r>
        <w:rPr>
          <w:b/>
          <w:sz w:val="18"/>
          <w:szCs w:val="18"/>
        </w:rPr>
        <w:t xml:space="preserve">Sources de données: </w:t>
      </w:r>
      <w:r>
        <w:rPr>
          <w:sz w:val="18"/>
          <w:szCs w:val="18"/>
        </w:rPr>
        <w:t xml:space="preserve">personenbezogen_selbstauskunft, personenbezogen_unterlagen_metadaten, objektdaten</w:t>
      </w:r>
    </w:p>
    <w:p>
      <w:pPr>
        <w:spacing w:after="20"/>
      </w:pPr>
      <w:r>
        <w:rPr>
          <w:b/>
          <w:sz w:val="18"/>
          <w:szCs w:val="18"/>
        </w:rPr>
        <w:t xml:space="preserve">Fonction IA: </w:t>
      </w:r>
      <w:r>
        <w:rPr>
          <w:sz w:val="18"/>
          <w:szCs w:val="18"/>
        </w:rPr>
        <w:t xml:space="preserve">screening_support, recommendation</w:t>
      </w:r>
    </w:p>
    <w:p>
      <w:pPr>
        <w:spacing w:after="20"/>
      </w:pPr>
      <w:r>
        <w:rPr>
          <w:b/>
          <w:sz w:val="18"/>
          <w:szCs w:val="18"/>
        </w:rPr>
        <w:t xml:space="preserve">Impacts possibles: </w:t>
      </w:r>
      <w:r>
        <w:rPr>
          <w:sz w:val="18"/>
          <w:szCs w:val="18"/>
        </w:rPr>
        <w:t xml:space="preserve">zugang_essentielle_leistung, oekonomisch_personenbezogen, diskriminierungsrisiko_zu_pruefen</w:t>
      </w:r>
    </w:p>
    <w:p>
      <w:pPr>
        <w:spacing w:after="20"/>
      </w:pPr>
      <w:r>
        <w:rPr>
          <w:b/>
          <w:sz w:val="18"/>
          <w:szCs w:val="18"/>
        </w:rPr>
        <w:t xml:space="preserve">Espace juridique: </w:t>
      </w:r>
      <w:r>
        <w:rPr>
          <w:sz w:val="18"/>
          <w:szCs w:val="18"/>
        </w:rPr>
        <w:t xml:space="preserve">eu-de</w:t>
      </w:r>
    </w:p>
    <w:p>
      <w:pPr>
        <w:spacing w:after="20"/>
      </w:pPr>
      <w:r>
        <w:rPr>
          <w:b/>
          <w:sz w:val="18"/>
          <w:szCs w:val="18"/>
        </w:rPr>
        <w:t xml:space="preserve">Système source: </w:t>
      </w:r>
      <w:r>
        <w:rPr>
          <w:sz w:val="18"/>
          <w:szCs w:val="18"/>
        </w:rPr>
        <w:t xml:space="preserve">causax</w:t>
      </w:r>
    </w:p>
    <w:p>
      <w:pPr>
        <w:spacing w:after="20"/>
      </w:pPr>
      <w:r>
        <w:rPr>
          <w:b/>
          <w:sz w:val="18"/>
          <w:szCs w:val="18"/>
        </w:rPr>
        <w:t xml:space="preserve">État du cycle de vie: </w:t>
      </w:r>
      <w:r>
        <w:rPr>
          <w:sz w:val="18"/>
          <w:szCs w:val="18"/>
        </w:rPr>
        <w:t xml:space="preserve">Actif</w:t>
      </w:r>
    </w:p>
    <w:p>
      <w:pPr>
        <w:spacing w:after="40"/>
      </w:pPr>
    </w:p>
    <w:p>
      <w:pPr>
        <w:spacing w:before="160" w:after="60"/>
      </w:pPr>
      <w:r>
        <w:rPr>
          <w:b/>
          <w:sz w:val="30"/>
          <w:szCs w:val="30"/>
        </w:rPr>
        <w:t xml:space="preserve">Évaluation des risques (préliminaire)</w:t>
      </w:r>
    </w:p>
    <w:p>
      <w:pPr>
        <w:spacing w:after="20"/>
      </w:pPr>
      <w:r>
        <w:rPr>
          <w:b/>
          <w:sz w:val="18"/>
          <w:szCs w:val="18"/>
        </w:rPr>
        <w:t xml:space="preserve">Classe de risque préliminaire: </w:t>
      </w:r>
      <w:r>
        <w:rPr>
          <w:sz w:val="18"/>
          <w:szCs w:val="18"/>
        </w:rPr>
        <w:t xml:space="preserve">Proche du haut risque — supervision humaine obligatoire, examen juridique externe recommandé</w:t>
      </w:r>
    </w:p>
    <w:p>
      <w:pPr>
        <w:spacing w:after="20"/>
      </w:pPr>
      <w:r>
        <w:rPr>
          <w:b/>
          <w:sz w:val="18"/>
          <w:szCs w:val="18"/>
        </w:rPr>
        <w:t xml:space="preserve">Niveau de confiance de l'évaluation: </w:t>
      </w:r>
      <w:r>
        <w:rPr>
          <w:sz w:val="18"/>
          <w:szCs w:val="18"/>
        </w:rPr>
        <w:t xml:space="preserve">medium</w:t>
      </w:r>
    </w:p>
    <w:p>
      <w:pPr>
        <w:spacing w:after="20"/>
      </w:pPr>
      <w:r>
        <w:rPr>
          <w:b/>
          <w:sz w:val="18"/>
          <w:szCs w:val="18"/>
        </w:rPr>
        <w:t xml:space="preserve">Jeu de règles: </w:t>
      </w:r>
      <w:r>
        <w:rPr>
          <w:sz w:val="18"/>
          <w:szCs w:val="18"/>
        </w:rPr>
        <w:t xml:space="preserve">v0.1.0</w:t>
      </w:r>
    </w:p>
    <w:p>
      <w:pPr>
        <w:spacing w:after="20"/>
      </w:pPr>
      <w:r>
        <w:rPr>
          <w:b/>
          <w:sz w:val="18"/>
          <w:szCs w:val="18"/>
        </w:rPr>
        <w:t xml:space="preserve">Examen humain requis: </w:t>
      </w:r>
      <w:r>
        <w:rPr>
          <w:sz w:val="18"/>
          <w:szCs w:val="18"/>
        </w:rPr>
        <w:t xml:space="preserve">Oui</w:t>
      </w:r>
    </w:p>
    <w:p>
      <w:pPr>
        <w:spacing w:after="40"/>
      </w:pPr>
    </w:p>
    <w:p>
      <w:pPr>
        <w:shd w:val="clear" w:color="auto" w:fill="FDF5DB"/>
        <w:spacing w:before="40" w:after="80"/>
      </w:pPr>
      <w:r>
        <w:rPr>
          <w:sz w:val="18"/>
          <w:szCs w:val="18"/>
          <w:color w:val="664D07"/>
        </w:rPr>
        <w:t xml:space="preserve">La classification de risque est préliminaire et ne remplace pas une appréciation juridique.</w:t>
      </w:r>
    </w:p>
    <w:p>
      <w:pPr>
        <w:spacing w:before="160" w:after="60"/>
      </w:pPr>
      <w:r>
        <w:rPr>
          <w:b/>
          <w:sz w:val="25"/>
          <w:szCs w:val="25"/>
        </w:rPr>
        <w:t xml:space="preserve">Justification (référence aux règles)</w:t>
      </w:r>
    </w:p>
    <w:p>
      <w:pPr>
        <w:ind w:left="240"/>
        <w:spacing w:after="20"/>
      </w:pPr>
      <w:r>
        <w:rPr>
          <w:sz w:val="19"/>
          <w:szCs w:val="19"/>
        </w:rPr>
        <w:t xml:space="preserve">•  </w:t>
      </w:r>
      <w:r>
        <w:rPr>
          <w:sz w:val="19"/>
          <w:szCs w:val="19"/>
        </w:rPr>
        <w:t xml:space="preserve">R-HIGH-SCREEN-01 — Filtrage de personnes physiques ayant un effet sur l'accès à une prestation essentielle (logement) — configuration proche du haut risque, supervision humaine obligatoire.</w:t>
      </w:r>
    </w:p>
    <w:p>
      <w:pPr>
        <w:ind w:left="240"/>
        <w:spacing w:after="20"/>
      </w:pPr>
      <w:r>
        <w:rPr>
          <w:sz w:val="19"/>
          <w:szCs w:val="19"/>
        </w:rPr>
        <w:t xml:space="preserve">•  </w:t>
      </w:r>
      <w:r>
        <w:rPr>
          <w:sz w:val="19"/>
          <w:szCs w:val="19"/>
        </w:rPr>
        <w:t xml:space="preserve">R-ELEV-ECON-01 — Impact économique sur des personnes physiques — l'aide à la décision exige une validation humaine des étapes effectives.</w:t>
      </w:r>
    </w:p>
    <w:p>
      <w:pPr>
        <w:ind w:left="240"/>
        <w:spacing w:after="20"/>
      </w:pPr>
      <w:r>
        <w:rPr>
          <w:sz w:val="19"/>
          <w:szCs w:val="19"/>
        </w:rPr>
        <w:t xml:space="preserve">•  </w:t>
      </w:r>
      <w:r>
        <w:rPr>
          <w:sz w:val="19"/>
          <w:szCs w:val="19"/>
        </w:rPr>
        <w:t xml:space="preserve">R-ELEV-PII-01 — Traitement de sources de données personnelles — les principes du RGPD (limitation des finalités, minimisation des données, droits des personnes concernées) doivent être appliqués.</w:t>
      </w:r>
    </w:p>
    <w:p>
      <w:pPr>
        <w:ind w:left="240"/>
        <w:spacing w:after="20"/>
      </w:pPr>
      <w:r>
        <w:rPr>
          <w:sz w:val="19"/>
          <w:szCs w:val="19"/>
        </w:rPr>
        <w:t xml:space="preserve">•  </w:t>
      </w:r>
      <w:r>
        <w:rPr>
          <w:sz w:val="19"/>
          <w:szCs w:val="19"/>
        </w:rPr>
        <w:t xml:space="preserve">R-LIM-TRANSPARENCY-01 — Fonction IA générative ou de recommandation — les obligations de transparence et de marquage sont à vérifier.</w:t>
      </w:r>
    </w:p>
    <w:p>
      <w:pPr>
        <w:spacing w:after="40"/>
      </w:pPr>
    </w:p>
    <w:p>
      <w:pPr>
        <w:spacing w:before="160" w:after="60"/>
      </w:pPr>
      <w:r>
        <w:rPr>
          <w:b/>
          <w:sz w:val="25"/>
          <w:szCs w:val="25"/>
        </w:rPr>
        <w:t xml:space="preserve">Questions juridiques ouvertes</w:t>
      </w:r>
    </w:p>
    <w:p>
      <w:pPr>
        <w:ind w:left="240"/>
        <w:spacing w:after="20"/>
      </w:pPr>
      <w:r>
        <w:rPr>
          <w:sz w:val="19"/>
          <w:szCs w:val="19"/>
        </w:rPr>
        <w:t xml:space="preserve">•  </w:t>
      </w:r>
      <w:r>
        <w:rPr>
          <w:sz w:val="19"/>
          <w:szCs w:val="19"/>
        </w:rPr>
        <w:t xml:space="preserve">L'accès au logement doit-il être qualifié de prestation privée essentielle au sens de l'annexe III de l'EU AI Act ? Un examen juridique externe est recommandé ; jusqu'à clarification, le cas est traité comme proche du haut risque.</w:t>
      </w:r>
    </w:p>
    <w:p>
      <w:pPr>
        <w:spacing w:after="40"/>
      </w:pPr>
    </w:p>
    <w:p>
      <w:pPr>
        <w:spacing w:before="160" w:after="60"/>
      </w:pPr>
      <w:r>
        <w:rPr>
          <w:b/>
          <w:sz w:val="25"/>
          <w:szCs w:val="25"/>
        </w:rPr>
        <w:t xml:space="preserve">Mesures d'atténuation recommandées</w:t>
      </w:r>
    </w:p>
    <w:p>
      <w:pPr>
        <w:ind w:left="240"/>
        <w:spacing w:after="20"/>
      </w:pPr>
      <w:r>
        <w:rPr>
          <w:sz w:val="19"/>
          <w:szCs w:val="19"/>
        </w:rPr>
        <w:t xml:space="preserve">•  </w:t>
      </w:r>
      <w:r>
        <w:rPr>
          <w:sz w:val="19"/>
          <w:szCs w:val="19"/>
        </w:rPr>
        <w:t xml:space="preserve">Examen humain obligatoire de chaque évaluation individuelle par une personne responsable désignée.</w:t>
      </w:r>
    </w:p>
    <w:p>
      <w:pPr>
        <w:ind w:left="240"/>
        <w:spacing w:after="20"/>
      </w:pPr>
      <w:r>
        <w:rPr>
          <w:sz w:val="19"/>
          <w:szCs w:val="19"/>
        </w:rPr>
        <w:t xml:space="preserve">•  </w:t>
      </w:r>
      <w:r>
        <w:rPr>
          <w:sz w:val="19"/>
          <w:szCs w:val="19"/>
        </w:rPr>
        <w:t xml:space="preserve">Contrôle et surveillance des biais de la logique d'évaluation avant et pendant l'utilisation.</w:t>
      </w:r>
    </w:p>
    <w:p>
      <w:pPr>
        <w:ind w:left="240"/>
        <w:spacing w:after="20"/>
      </w:pPr>
      <w:r>
        <w:rPr>
          <w:sz w:val="19"/>
          <w:szCs w:val="19"/>
        </w:rPr>
        <w:t xml:space="preserve">•  </w:t>
      </w:r>
      <w:r>
        <w:rPr>
          <w:sz w:val="19"/>
          <w:szCs w:val="19"/>
        </w:rPr>
        <w:t xml:space="preserve">Mettre en place une voie de recours/correction pour les personnes concernées (Incident &amp; Appeal Register).</w:t>
      </w:r>
    </w:p>
    <w:p>
      <w:pPr>
        <w:ind w:left="240"/>
        <w:spacing w:after="20"/>
      </w:pPr>
      <w:r>
        <w:rPr>
          <w:sz w:val="19"/>
          <w:szCs w:val="19"/>
        </w:rPr>
        <w:t xml:space="preserve">•  </w:t>
      </w:r>
      <w:r>
        <w:rPr>
          <w:sz w:val="19"/>
          <w:szCs w:val="19"/>
        </w:rPr>
        <w:t xml:space="preserve">Minimisation des données : ne traiter que les catégories nécessaires à la gouvernance, sans copies de données brutes.</w:t>
      </w:r>
    </w:p>
    <w:p>
      <w:pPr>
        <w:ind w:left="240"/>
        <w:spacing w:after="20"/>
      </w:pPr>
      <w:r>
        <w:rPr>
          <w:sz w:val="19"/>
          <w:szCs w:val="19"/>
        </w:rPr>
        <w:t xml:space="preserve">•  </w:t>
      </w:r>
      <w:r>
        <w:rPr>
          <w:sz w:val="19"/>
          <w:szCs w:val="19"/>
        </w:rPr>
        <w:t xml:space="preserve">Chaque action effective (comptabilisation, décision, notification) est validée par un humain.</w:t>
      </w:r>
    </w:p>
    <w:p>
      <w:pPr>
        <w:ind w:left="240"/>
        <w:spacing w:after="20"/>
      </w:pPr>
      <w:r>
        <w:rPr>
          <w:sz w:val="19"/>
          <w:szCs w:val="19"/>
        </w:rPr>
        <w:t xml:space="preserve">•  </w:t>
      </w:r>
      <w:r>
        <w:rPr>
          <w:sz w:val="19"/>
          <w:szCs w:val="19"/>
        </w:rPr>
        <w:t xml:space="preserve">Contrôle d'accès basé sur les rôles et événements d'audit pour chaque accès à des objets sensibles.</w:t>
      </w:r>
    </w:p>
    <w:p>
      <w:pPr>
        <w:ind w:left="240"/>
        <w:spacing w:after="20"/>
      </w:pPr>
      <w:r>
        <w:rPr>
          <w:sz w:val="19"/>
          <w:szCs w:val="19"/>
        </w:rPr>
        <w:t xml:space="preserve">•  </w:t>
      </w:r>
      <w:r>
        <w:rPr>
          <w:sz w:val="19"/>
          <w:szCs w:val="19"/>
        </w:rPr>
        <w:t xml:space="preserve">Signaler les contenus générés par l'IA comme tels ; l'escalade vers un humain reste possible à tout moment.</w:t>
      </w:r>
    </w:p>
    <w:p>
      <w:pPr>
        <w:ind w:left="240"/>
        <w:spacing w:after="20"/>
      </w:pPr>
      <w:r>
        <w:rPr>
          <w:sz w:val="19"/>
          <w:szCs w:val="19"/>
        </w:rPr>
        <w:t xml:space="preserve">•  </w:t>
      </w:r>
      <w:r>
        <w:rPr>
          <w:sz w:val="19"/>
          <w:szCs w:val="19"/>
        </w:rPr>
        <w:t xml:space="preserve">Obtenir un examen juridique externe avant tout usage réel (configuration proche du haut risque).</w:t>
      </w:r>
    </w:p>
    <w:p>
      <w:pPr>
        <w:spacing w:after="40"/>
      </w:pPr>
    </w:p>
    <w:p>
      <w:pPr>
        <w:spacing w:before="160" w:after="60"/>
      </w:pPr>
      <w:r>
        <w:rPr>
          <w:b/>
          <w:sz w:val="25"/>
          <w:szCs w:val="25"/>
        </w:rPr>
        <w:t xml:space="preserve">Incertitude de l'évaluation</w:t>
      </w:r>
    </w:p>
    <w:p>
      <w:pPr>
        <w:spacing w:after="60"/>
      </w:pPr>
      <w:r>
        <w:rPr>
          <w:sz w:val="19"/>
          <w:szCs w:val="19"/>
        </w:rPr>
        <w:t xml:space="preserve">Le jeu de règles v0.1 s'appuie sur des heuristiques d'examen internes relatives à l'EU AI Act, au RGPD/GDPR, à la LPD suisse et au contexte britannique. L'évaluation dépend de l'exhaustivité des informations du registre et ne remplace pas un examen juridique.</w:t>
      </w:r>
    </w:p>
    <w:p>
      <w:pPr>
        <w:spacing w:before="160" w:after="60"/>
      </w:pPr>
      <w:r>
        <w:rPr>
          <w:b/>
          <w:sz w:val="30"/>
          <w:szCs w:val="30"/>
        </w:rPr>
        <w:t xml:space="preserve">Aperçu des politiques et des contrôles</w:t>
      </w:r>
    </w:p>
    <w:p>
      <w:pPr>
        <w:shd w:val="clear" w:color="auto" w:fill="FDF5DB"/>
        <w:spacing w:before="40" w:after="80"/>
      </w:pPr>
      <w:r>
        <w:rPr>
          <w:sz w:val="18"/>
          <w:szCs w:val="18"/>
          <w:color w:val="664D07"/>
        </w:rPr>
        <w:t xml:space="preserve">L'état du contrôle documente l'examen des preuves — il ne certifie aucune conformité.</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2265"/>
        <w:gridCol w:w="2265"/>
        <w:gridCol w:w="2265"/>
        <w:gridCol w:w="2265"/>
      </w:tblGrid>
      <w:tr>
        <w:tc>
          <w:tcPr>
            <w:tcW w:w="2265" w:type="dxa"/>
            <w:shd w:val="clear" w:color="auto" w:fill="EEF1F7"/>
          </w:tcPr>
          <w:p>
            <w:pPr>
              <w:spacing w:before="20" w:after="20"/>
            </w:pPr>
            <w:r>
              <w:rPr>
                <w:b/>
                <w:sz w:val="17"/>
                <w:szCs w:val="17"/>
              </w:rPr>
              <w:t xml:space="preserve">Contrôle</w:t>
            </w:r>
          </w:p>
        </w:tc>
        <w:tc>
          <w:tcPr>
            <w:tcW w:w="2265" w:type="dxa"/>
            <w:shd w:val="clear" w:color="auto" w:fill="EEF1F7"/>
          </w:tcPr>
          <w:p>
            <w:pPr>
              <w:spacing w:before="20" w:after="20"/>
            </w:pPr>
            <w:r>
              <w:rPr>
                <w:b/>
                <w:sz w:val="17"/>
                <w:szCs w:val="17"/>
              </w:rPr>
              <w:t xml:space="preserve">Référence</w:t>
            </w:r>
          </w:p>
        </w:tc>
        <w:tc>
          <w:tcPr>
            <w:tcW w:w="2265" w:type="dxa"/>
            <w:shd w:val="clear" w:color="auto" w:fill="EEF1F7"/>
          </w:tcPr>
          <w:p>
            <w:pPr>
              <w:spacing w:before="20" w:after="20"/>
            </w:pPr>
            <w:r>
              <w:rPr>
                <w:b/>
                <w:sz w:val="17"/>
                <w:szCs w:val="17"/>
              </w:rPr>
              <w:t xml:space="preserve">État</w:t>
            </w:r>
          </w:p>
        </w:tc>
        <w:tc>
          <w:tcPr>
            <w:tcW w:w="2265" w:type="dxa"/>
            <w:shd w:val="clear" w:color="auto" w:fill="EEF1F7"/>
          </w:tcPr>
          <w:p>
            <w:pPr>
              <w:spacing w:before="20" w:after="20"/>
            </w:pPr>
            <w:r>
              <w:rPr>
                <w:b/>
                <w:sz w:val="17"/>
                <w:szCs w:val="17"/>
              </w:rPr>
              <w:t xml:space="preserve">Preuves</w:t>
            </w:r>
          </w:p>
        </w:tc>
      </w:tr>
      <w:tr>
        <w:tc>
          <w:tcPr>
            <w:tcW w:w="2265" w:type="dxa"/>
          </w:tcPr>
          <w:p>
            <w:pPr>
              <w:spacing w:before="20" w:after="20"/>
            </w:pPr>
            <w:r>
              <w:rPr>
                <w:sz w:val="17"/>
                <w:szCs w:val="17"/>
              </w:rPr>
              <w:t xml:space="preserve">Vérification des pratiques interdites</w:t>
            </w:r>
          </w:p>
        </w:tc>
        <w:tc>
          <w:tcPr>
            <w:tcW w:w="2265" w:type="dxa"/>
          </w:tcPr>
          <w:p>
            <w:pPr>
              <w:spacing w:before="20" w:after="20"/>
            </w:pPr>
            <w:r>
              <w:rPr>
                <w:sz w:val="17"/>
                <w:szCs w:val="17"/>
              </w:rPr>
              <w:t xml:space="preserve">EU AI Act Art. 5</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Système de gestion des risques</w:t>
            </w:r>
          </w:p>
        </w:tc>
        <w:tc>
          <w:tcPr>
            <w:tcW w:w="2265" w:type="dxa"/>
          </w:tcPr>
          <w:p>
            <w:pPr>
              <w:spacing w:before="20" w:after="20"/>
            </w:pPr>
            <w:r>
              <w:rPr>
                <w:sz w:val="17"/>
                <w:szCs w:val="17"/>
              </w:rPr>
              <w:t xml:space="preserve">EU AI Act Art. 9</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Gouvernance des données</w:t>
            </w:r>
          </w:p>
        </w:tc>
        <w:tc>
          <w:tcPr>
            <w:tcW w:w="2265" w:type="dxa"/>
          </w:tcPr>
          <w:p>
            <w:pPr>
              <w:spacing w:before="20" w:after="20"/>
            </w:pPr>
            <w:r>
              <w:rPr>
                <w:sz w:val="17"/>
                <w:szCs w:val="17"/>
              </w:rPr>
              <w:t xml:space="preserve">EU AI Act Art. 10</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Documentation technique (proche de l'annexe IV)</w:t>
            </w:r>
          </w:p>
        </w:tc>
        <w:tc>
          <w:tcPr>
            <w:tcW w:w="2265" w:type="dxa"/>
          </w:tcPr>
          <w:p>
            <w:pPr>
              <w:spacing w:before="20" w:after="20"/>
            </w:pPr>
            <w:r>
              <w:rPr>
                <w:sz w:val="17"/>
                <w:szCs w:val="17"/>
              </w:rPr>
              <w:t xml:space="preserve">EU AI Act Art. 11 / Annex IV</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Journalisation</w:t>
            </w:r>
          </w:p>
        </w:tc>
        <w:tc>
          <w:tcPr>
            <w:tcW w:w="2265" w:type="dxa"/>
          </w:tcPr>
          <w:p>
            <w:pPr>
              <w:spacing w:before="20" w:after="20"/>
            </w:pPr>
            <w:r>
              <w:rPr>
                <w:sz w:val="17"/>
                <w:szCs w:val="17"/>
              </w:rPr>
              <w:t xml:space="preserve">EU AI Act Art. 12</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Transparence et marquage</w:t>
            </w:r>
          </w:p>
        </w:tc>
        <w:tc>
          <w:tcPr>
            <w:tcW w:w="2265" w:type="dxa"/>
          </w:tcPr>
          <w:p>
            <w:pPr>
              <w:spacing w:before="20" w:after="20"/>
            </w:pPr>
            <w:r>
              <w:rPr>
                <w:sz w:val="17"/>
                <w:szCs w:val="17"/>
              </w:rPr>
              <w:t xml:space="preserve">EU AI Act Art. 13 / 50</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Supervision humaine</w:t>
            </w:r>
          </w:p>
        </w:tc>
        <w:tc>
          <w:tcPr>
            <w:tcW w:w="2265" w:type="dxa"/>
          </w:tcPr>
          <w:p>
            <w:pPr>
              <w:spacing w:before="20" w:after="20"/>
            </w:pPr>
            <w:r>
              <w:rPr>
                <w:sz w:val="17"/>
                <w:szCs w:val="17"/>
              </w:rPr>
              <w:t xml:space="preserve">EU AI Act Art. 14</w:t>
            </w:r>
          </w:p>
        </w:tc>
        <w:tc>
          <w:tcPr>
            <w:tcW w:w="2265" w:type="dxa"/>
          </w:tcPr>
          <w:p>
            <w:pPr>
              <w:spacing w:before="20" w:after="20"/>
            </w:pPr>
            <w:r>
              <w:rPr>
                <w:sz w:val="17"/>
                <w:szCs w:val="17"/>
              </w:rPr>
              <w:t xml:space="preserve">Examiné (preuves)</w:t>
            </w:r>
          </w:p>
        </w:tc>
        <w:tc>
          <w:tcPr>
            <w:tcW w:w="2265" w:type="dxa"/>
          </w:tcPr>
          <w:p>
            <w:pPr>
              <w:spacing w:before="20" w:after="20"/>
            </w:pPr>
            <w:r>
              <w:rPr>
                <w:sz w:val="17"/>
                <w:szCs w:val="17"/>
              </w:rPr>
              <w:t xml:space="preserve">1</w:t>
            </w:r>
          </w:p>
        </w:tc>
      </w:tr>
      <w:tr>
        <w:tc>
          <w:tcPr>
            <w:tcW w:w="2265" w:type="dxa"/>
          </w:tcPr>
          <w:p>
            <w:pPr>
              <w:spacing w:before="20" w:after="20"/>
            </w:pPr>
            <w:r>
              <w:rPr>
                <w:sz w:val="17"/>
                <w:szCs w:val="17"/>
              </w:rPr>
              <w:t xml:space="preserve">Exactitude, robustesse, cybersécurité</w:t>
            </w:r>
          </w:p>
        </w:tc>
        <w:tc>
          <w:tcPr>
            <w:tcW w:w="2265" w:type="dxa"/>
          </w:tcPr>
          <w:p>
            <w:pPr>
              <w:spacing w:before="20" w:after="20"/>
            </w:pPr>
            <w:r>
              <w:rPr>
                <w:sz w:val="17"/>
                <w:szCs w:val="17"/>
              </w:rPr>
              <w:t xml:space="preserve">EU AI Act Art. 15</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Licéité du traitement</w:t>
            </w:r>
          </w:p>
        </w:tc>
        <w:tc>
          <w:tcPr>
            <w:tcW w:w="2265" w:type="dxa"/>
          </w:tcPr>
          <w:p>
            <w:pPr>
              <w:spacing w:before="20" w:after="20"/>
            </w:pPr>
            <w:r>
              <w:rPr>
                <w:sz w:val="17"/>
                <w:szCs w:val="17"/>
              </w:rPr>
              <w:t xml:space="preserve">DSGVO Art. 6</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Minimisation des données</w:t>
            </w:r>
          </w:p>
        </w:tc>
        <w:tc>
          <w:tcPr>
            <w:tcW w:w="2265" w:type="dxa"/>
          </w:tcPr>
          <w:p>
            <w:pPr>
              <w:spacing w:before="20" w:after="20"/>
            </w:pPr>
            <w:r>
              <w:rPr>
                <w:sz w:val="17"/>
                <w:szCs w:val="17"/>
              </w:rPr>
              <w:t xml:space="preserve">DSGVO Art. 5(1c)</w:t>
            </w:r>
          </w:p>
        </w:tc>
        <w:tc>
          <w:tcPr>
            <w:tcW w:w="2265" w:type="dxa"/>
          </w:tcPr>
          <w:p>
            <w:pPr>
              <w:spacing w:before="20" w:after="20"/>
            </w:pPr>
            <w:r>
              <w:rPr>
                <w:sz w:val="17"/>
                <w:szCs w:val="17"/>
              </w:rPr>
              <w:t xml:space="preserve">Preuve jointe</w:t>
            </w:r>
          </w:p>
        </w:tc>
        <w:tc>
          <w:tcPr>
            <w:tcW w:w="2265" w:type="dxa"/>
          </w:tcPr>
          <w:p>
            <w:pPr>
              <w:spacing w:before="20" w:after="20"/>
            </w:pPr>
            <w:r>
              <w:rPr>
                <w:sz w:val="17"/>
                <w:szCs w:val="17"/>
              </w:rPr>
              <w:t xml:space="preserve">1</w:t>
            </w:r>
          </w:p>
        </w:tc>
      </w:tr>
      <w:tr>
        <w:tc>
          <w:tcPr>
            <w:tcW w:w="2265" w:type="dxa"/>
          </w:tcPr>
          <w:p>
            <w:pPr>
              <w:spacing w:before="20" w:after="20"/>
            </w:pPr>
            <w:r>
              <w:rPr>
                <w:sz w:val="17"/>
                <w:szCs w:val="17"/>
              </w:rPr>
              <w:t xml:space="preserve">Analyse d'impact relative à la protection des données (AIPD)</w:t>
            </w:r>
          </w:p>
        </w:tc>
        <w:tc>
          <w:tcPr>
            <w:tcW w:w="2265" w:type="dxa"/>
          </w:tcPr>
          <w:p>
            <w:pPr>
              <w:spacing w:before="20" w:after="20"/>
            </w:pPr>
            <w:r>
              <w:rPr>
                <w:sz w:val="17"/>
                <w:szCs w:val="17"/>
              </w:rPr>
              <w:t xml:space="preserve">DSGVO Art. 35</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Droits des personnes concernées</w:t>
            </w:r>
          </w:p>
        </w:tc>
        <w:tc>
          <w:tcPr>
            <w:tcW w:w="2265" w:type="dxa"/>
          </w:tcPr>
          <w:p>
            <w:pPr>
              <w:spacing w:before="20" w:after="20"/>
            </w:pPr>
            <w:r>
              <w:rPr>
                <w:sz w:val="17"/>
                <w:szCs w:val="17"/>
              </w:rPr>
              <w:t xml:space="preserve">DSGVO Art. 12–22</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Surveillance des biais</w:t>
            </w:r>
          </w:p>
        </w:tc>
        <w:tc>
          <w:tcPr>
            <w:tcW w:w="2265" w:type="dxa"/>
          </w:tcPr>
          <w:p>
            <w:pPr>
              <w:spacing w:before="20" w:after="20"/>
            </w:pPr>
            <w:r>
              <w:rPr>
                <w:sz w:val="17"/>
                <w:szCs w:val="17"/>
              </w:rPr>
              <w:t xml:space="preserve">SysTec Policy AI-BIAS-01</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Compétence en IA des personnes impliquées</w:t>
            </w:r>
          </w:p>
        </w:tc>
        <w:tc>
          <w:tcPr>
            <w:tcW w:w="2265" w:type="dxa"/>
          </w:tcPr>
          <w:p>
            <w:pPr>
              <w:spacing w:before="20" w:after="20"/>
            </w:pPr>
            <w:r>
              <w:rPr>
                <w:sz w:val="17"/>
                <w:szCs w:val="17"/>
              </w:rPr>
              <w:t xml:space="preserve">EU AI Act Art. 4</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Contrôle d'accès</w:t>
            </w:r>
          </w:p>
        </w:tc>
        <w:tc>
          <w:tcPr>
            <w:tcW w:w="2265" w:type="dxa"/>
          </w:tcPr>
          <w:p>
            <w:pPr>
              <w:spacing w:before="20" w:after="20"/>
            </w:pPr>
            <w:r>
              <w:rPr>
                <w:sz w:val="17"/>
                <w:szCs w:val="17"/>
              </w:rPr>
              <w:t xml:space="preserve">ISO 27001 A.9 (Referenz)</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Chaîne d'audit/de preuves</w:t>
            </w:r>
          </w:p>
        </w:tc>
        <w:tc>
          <w:tcPr>
            <w:tcW w:w="2265" w:type="dxa"/>
          </w:tcPr>
          <w:p>
            <w:pPr>
              <w:spacing w:before="20" w:after="20"/>
            </w:pPr>
            <w:r>
              <w:rPr>
                <w:sz w:val="17"/>
                <w:szCs w:val="17"/>
              </w:rPr>
              <w:t xml:space="preserve">SysTec Evidence Standard (ADR-003)</w:t>
            </w:r>
          </w:p>
        </w:tc>
        <w:tc>
          <w:tcPr>
            <w:tcW w:w="2265" w:type="dxa"/>
          </w:tcPr>
          <w:p>
            <w:pPr>
              <w:spacing w:before="20" w:after="20"/>
            </w:pPr>
            <w:r>
              <w:rPr>
                <w:sz w:val="17"/>
                <w:szCs w:val="17"/>
              </w:rPr>
              <w:t xml:space="preserve">Ouvert</w:t>
            </w:r>
          </w:p>
        </w:tc>
        <w:tc>
          <w:tcPr>
            <w:tcW w:w="2265" w:type="dxa"/>
          </w:tcPr>
          <w:p>
            <w:pPr>
              <w:spacing w:before="20" w:after="20"/>
            </w:pPr>
            <w:r>
              <w:rPr>
                <w:sz w:val="17"/>
                <w:szCs w:val="17"/>
              </w:rPr>
              <w:t xml:space="preserve">0</w:t>
            </w:r>
          </w:p>
        </w:tc>
      </w:tr>
    </w:tbl>
    <w:p>
      <w:pPr>
        <w:spacing w:after="60"/>
      </w:pPr>
    </w:p>
    <w:p>
      <w:pPr>
        <w:spacing w:before="160" w:after="60"/>
      </w:pPr>
      <w:r>
        <w:rPr>
          <w:b/>
          <w:sz w:val="25"/>
          <w:szCs w:val="25"/>
        </w:rPr>
        <w:t xml:space="preserve">Lacunes ouvertes</w:t>
      </w:r>
    </w:p>
    <w:p>
      <w:pPr>
        <w:ind w:left="240"/>
        <w:spacing w:after="20"/>
      </w:pPr>
      <w:r>
        <w:rPr>
          <w:sz w:val="19"/>
          <w:szCs w:val="19"/>
        </w:rPr>
        <w:t xml:space="preserve">•  </w:t>
      </w:r>
      <w:r>
        <w:rPr>
          <w:sz w:val="19"/>
          <w:szCs w:val="19"/>
        </w:rPr>
        <w:t xml:space="preserve">Vérification des pratiques interdites</w:t>
      </w:r>
    </w:p>
    <w:p>
      <w:pPr>
        <w:ind w:left="240"/>
        <w:spacing w:after="20"/>
      </w:pPr>
      <w:r>
        <w:rPr>
          <w:sz w:val="19"/>
          <w:szCs w:val="19"/>
        </w:rPr>
        <w:t xml:space="preserve">•  </w:t>
      </w:r>
      <w:r>
        <w:rPr>
          <w:sz w:val="19"/>
          <w:szCs w:val="19"/>
        </w:rPr>
        <w:t xml:space="preserve">Système de gestion des risques</w:t>
      </w:r>
    </w:p>
    <w:p>
      <w:pPr>
        <w:ind w:left="240"/>
        <w:spacing w:after="20"/>
      </w:pPr>
      <w:r>
        <w:rPr>
          <w:sz w:val="19"/>
          <w:szCs w:val="19"/>
        </w:rPr>
        <w:t xml:space="preserve">•  </w:t>
      </w:r>
      <w:r>
        <w:rPr>
          <w:sz w:val="19"/>
          <w:szCs w:val="19"/>
        </w:rPr>
        <w:t xml:space="preserve">Gouvernance des données</w:t>
      </w:r>
    </w:p>
    <w:p>
      <w:pPr>
        <w:ind w:left="240"/>
        <w:spacing w:after="20"/>
      </w:pPr>
      <w:r>
        <w:rPr>
          <w:sz w:val="19"/>
          <w:szCs w:val="19"/>
        </w:rPr>
        <w:t xml:space="preserve">•  </w:t>
      </w:r>
      <w:r>
        <w:rPr>
          <w:sz w:val="19"/>
          <w:szCs w:val="19"/>
        </w:rPr>
        <w:t xml:space="preserve">Documentation technique (proche de l'annexe IV)</w:t>
      </w:r>
    </w:p>
    <w:p>
      <w:pPr>
        <w:ind w:left="240"/>
        <w:spacing w:after="20"/>
      </w:pPr>
      <w:r>
        <w:rPr>
          <w:sz w:val="19"/>
          <w:szCs w:val="19"/>
        </w:rPr>
        <w:t xml:space="preserve">•  </w:t>
      </w:r>
      <w:r>
        <w:rPr>
          <w:sz w:val="19"/>
          <w:szCs w:val="19"/>
        </w:rPr>
        <w:t xml:space="preserve">Journalisation</w:t>
      </w:r>
    </w:p>
    <w:p>
      <w:pPr>
        <w:ind w:left="240"/>
        <w:spacing w:after="20"/>
      </w:pPr>
      <w:r>
        <w:rPr>
          <w:sz w:val="19"/>
          <w:szCs w:val="19"/>
        </w:rPr>
        <w:t xml:space="preserve">•  </w:t>
      </w:r>
      <w:r>
        <w:rPr>
          <w:sz w:val="19"/>
          <w:szCs w:val="19"/>
        </w:rPr>
        <w:t xml:space="preserve">Transparence et marquage</w:t>
      </w:r>
    </w:p>
    <w:p>
      <w:pPr>
        <w:ind w:left="240"/>
        <w:spacing w:after="20"/>
      </w:pPr>
      <w:r>
        <w:rPr>
          <w:sz w:val="19"/>
          <w:szCs w:val="19"/>
        </w:rPr>
        <w:t xml:space="preserve">•  </w:t>
      </w:r>
      <w:r>
        <w:rPr>
          <w:sz w:val="19"/>
          <w:szCs w:val="19"/>
        </w:rPr>
        <w:t xml:space="preserve">Exactitude, robustesse, cybersécurité</w:t>
      </w:r>
    </w:p>
    <w:p>
      <w:pPr>
        <w:ind w:left="240"/>
        <w:spacing w:after="20"/>
      </w:pPr>
      <w:r>
        <w:rPr>
          <w:sz w:val="19"/>
          <w:szCs w:val="19"/>
        </w:rPr>
        <w:t xml:space="preserve">•  </w:t>
      </w:r>
      <w:r>
        <w:rPr>
          <w:sz w:val="19"/>
          <w:szCs w:val="19"/>
        </w:rPr>
        <w:t xml:space="preserve">Licéité du traitement</w:t>
      </w:r>
    </w:p>
    <w:p>
      <w:pPr>
        <w:ind w:left="240"/>
        <w:spacing w:after="20"/>
      </w:pPr>
      <w:r>
        <w:rPr>
          <w:sz w:val="19"/>
          <w:szCs w:val="19"/>
        </w:rPr>
        <w:t xml:space="preserve">•  </w:t>
      </w:r>
      <w:r>
        <w:rPr>
          <w:sz w:val="19"/>
          <w:szCs w:val="19"/>
        </w:rPr>
        <w:t xml:space="preserve">Analyse d'impact relative à la protection des données (AIPD)</w:t>
      </w:r>
    </w:p>
    <w:p>
      <w:pPr>
        <w:ind w:left="240"/>
        <w:spacing w:after="20"/>
      </w:pPr>
      <w:r>
        <w:rPr>
          <w:sz w:val="19"/>
          <w:szCs w:val="19"/>
        </w:rPr>
        <w:t xml:space="preserve">•  </w:t>
      </w:r>
      <w:r>
        <w:rPr>
          <w:sz w:val="19"/>
          <w:szCs w:val="19"/>
        </w:rPr>
        <w:t xml:space="preserve">Droits des personnes concernées</w:t>
      </w:r>
    </w:p>
    <w:p>
      <w:pPr>
        <w:ind w:left="240"/>
        <w:spacing w:after="20"/>
      </w:pPr>
      <w:r>
        <w:rPr>
          <w:sz w:val="19"/>
          <w:szCs w:val="19"/>
        </w:rPr>
        <w:t xml:space="preserve">•  </w:t>
      </w:r>
      <w:r>
        <w:rPr>
          <w:sz w:val="19"/>
          <w:szCs w:val="19"/>
        </w:rPr>
        <w:t xml:space="preserve">Surveillance des biais</w:t>
      </w:r>
    </w:p>
    <w:p>
      <w:pPr>
        <w:ind w:left="240"/>
        <w:spacing w:after="20"/>
      </w:pPr>
      <w:r>
        <w:rPr>
          <w:sz w:val="19"/>
          <w:szCs w:val="19"/>
        </w:rPr>
        <w:t xml:space="preserve">•  </w:t>
      </w:r>
      <w:r>
        <w:rPr>
          <w:sz w:val="19"/>
          <w:szCs w:val="19"/>
        </w:rPr>
        <w:t xml:space="preserve">Compétence en IA des personnes impliquées</w:t>
      </w:r>
    </w:p>
    <w:p>
      <w:pPr>
        <w:ind w:left="240"/>
        <w:spacing w:after="20"/>
      </w:pPr>
      <w:r>
        <w:rPr>
          <w:sz w:val="19"/>
          <w:szCs w:val="19"/>
        </w:rPr>
        <w:t xml:space="preserve">•  </w:t>
      </w:r>
      <w:r>
        <w:rPr>
          <w:sz w:val="19"/>
          <w:szCs w:val="19"/>
        </w:rPr>
        <w:t xml:space="preserve">Contrôle d'accès</w:t>
      </w:r>
    </w:p>
    <w:p>
      <w:pPr>
        <w:ind w:left="240"/>
        <w:spacing w:after="20"/>
      </w:pPr>
      <w:r>
        <w:rPr>
          <w:sz w:val="19"/>
          <w:szCs w:val="19"/>
        </w:rPr>
        <w:t xml:space="preserve">•  </w:t>
      </w:r>
      <w:r>
        <w:rPr>
          <w:sz w:val="19"/>
          <w:szCs w:val="19"/>
        </w:rPr>
        <w:t xml:space="preserve">Chaîne d'audit/de preuves</w:t>
      </w:r>
    </w:p>
    <w:p>
      <w:pPr>
        <w:spacing w:after="40"/>
      </w:pPr>
    </w:p>
    <w:p>
      <w:pPr>
        <w:spacing w:before="160" w:after="60"/>
      </w:pPr>
      <w:r>
        <w:rPr>
          <w:b/>
          <w:sz w:val="30"/>
          <w:szCs w:val="30"/>
        </w:rPr>
        <w:t xml:space="preserve">Supervision humaine</w:t>
      </w:r>
    </w:p>
    <w:p>
      <w:pPr>
        <w:spacing w:after="20"/>
      </w:pPr>
      <w:r>
        <w:rPr>
          <w:b/>
          <w:sz w:val="18"/>
          <w:szCs w:val="18"/>
        </w:rPr>
        <w:t xml:space="preserve">Humain responsable: </w:t>
      </w:r>
      <w:r>
        <w:rPr>
          <w:sz w:val="18"/>
          <w:szCs w:val="18"/>
        </w:rPr>
        <w:t xml:space="preserve">actor_klaus</w:t>
      </w:r>
    </w:p>
    <w:p>
      <w:pPr>
        <w:spacing w:after="20"/>
      </w:pPr>
      <w:r>
        <w:rPr>
          <w:b/>
          <w:sz w:val="18"/>
          <w:szCs w:val="18"/>
        </w:rPr>
        <w:t xml:space="preserve">Personne chargée de la vérification: </w:t>
      </w:r>
      <w:r>
        <w:rPr>
          <w:sz w:val="18"/>
          <w:szCs w:val="18"/>
        </w:rPr>
        <w:t xml:space="preserve">actor_klaus (reviewer)</w:t>
      </w:r>
    </w:p>
    <w:p>
      <w:pPr>
        <w:spacing w:after="40"/>
      </w:pPr>
    </w:p>
    <w:p>
      <w:pPr>
        <w:shd w:val="clear" w:color="auto" w:fill="FDF5DB"/>
        <w:spacing w:before="40" w:after="80"/>
      </w:pPr>
      <w:r>
        <w:rPr>
          <w:sz w:val="18"/>
          <w:szCs w:val="18"/>
          <w:color w:val="664D07"/>
        </w:rPr>
        <w:t xml:space="preserve">La responsabilité humaine demeure obligatoire ; l'IA ne prend aucune décision automatique concernant des personnes.</w:t>
      </w:r>
    </w:p>
    <w:p>
      <w:pPr>
        <w:spacing w:before="160" w:after="60"/>
      </w:pPr>
      <w:r>
        <w:rPr>
          <w:b/>
          <w:sz w:val="25"/>
          <w:szCs w:val="25"/>
        </w:rPr>
        <w:t xml:space="preserve">Historique des examens</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Horodatage</w:t>
            </w:r>
          </w:p>
        </w:tc>
        <w:tc>
          <w:tcPr>
            <w:tcW w:w="3020" w:type="dxa"/>
            <w:shd w:val="clear" w:color="auto" w:fill="EEF1F7"/>
          </w:tcPr>
          <w:p>
            <w:pPr>
              <w:spacing w:before="20" w:after="20"/>
            </w:pPr>
            <w:r>
              <w:rPr>
                <w:b/>
                <w:sz w:val="17"/>
                <w:szCs w:val="17"/>
              </w:rPr>
              <w:t xml:space="preserve">Personne chargée de la vérification</w:t>
            </w:r>
          </w:p>
        </w:tc>
        <w:tc>
          <w:tcPr>
            <w:tcW w:w="3020" w:type="dxa"/>
            <w:shd w:val="clear" w:color="auto" w:fill="EEF1F7"/>
          </w:tcPr>
          <w:p>
            <w:pPr>
              <w:spacing w:before="20" w:after="20"/>
            </w:pPr>
            <w:r>
              <w:rPr>
                <w:b/>
                <w:sz w:val="17"/>
                <w:szCs w:val="17"/>
              </w:rPr>
              <w:t xml:space="preserve">Décision</w:t>
            </w:r>
          </w:p>
        </w:tc>
      </w:tr>
      <w:tr>
        <w:tc>
          <w:tcPr>
            <w:tcW w:w="3020" w:type="dxa"/>
          </w:tcPr>
          <w:p>
            <w:pPr>
              <w:spacing w:before="20" w:after="20"/>
            </w:pPr>
            <w:r>
              <w:rPr>
                <w:sz w:val="17"/>
                <w:szCs w:val="17"/>
              </w:rPr>
              <w:t xml:space="preserve">2026-07-10T11:52:53.672Z</w:t>
            </w:r>
          </w:p>
        </w:tc>
        <w:tc>
          <w:tcPr>
            <w:tcW w:w="3020" w:type="dxa"/>
          </w:tcPr>
          <w:p>
            <w:pPr>
              <w:spacing w:before="20" w:after="20"/>
            </w:pPr>
            <w:r>
              <w:rPr>
                <w:sz w:val="17"/>
                <w:szCs w:val="17"/>
              </w:rPr>
              <w:t xml:space="preserve">actor_klaus</w:t>
            </w:r>
          </w:p>
        </w:tc>
        <w:tc>
          <w:tcPr>
            <w:tcW w:w="3020" w:type="dxa"/>
          </w:tcPr>
          <w:p>
            <w:pPr>
              <w:spacing w:before="20" w:after="20"/>
            </w:pPr>
            <w:r>
              <w:rPr>
                <w:sz w:val="17"/>
                <w:szCs w:val="17"/>
              </w:rPr>
              <w:t xml:space="preserve">Modifications requises</w:t>
            </w:r>
          </w:p>
        </w:tc>
      </w:tr>
      <w:tr>
        <w:tc>
          <w:tcPr>
            <w:tcW w:w="3020" w:type="dxa"/>
          </w:tcPr>
          <w:p>
            <w:pPr>
              <w:spacing w:before="20" w:after="20"/>
            </w:pPr>
            <w:r>
              <w:rPr>
                <w:sz w:val="17"/>
                <w:szCs w:val="17"/>
              </w:rPr>
              <w:t xml:space="preserve">2026-07-10T11:52:53.706Z</w:t>
            </w:r>
          </w:p>
        </w:tc>
        <w:tc>
          <w:tcPr>
            <w:tcW w:w="3020" w:type="dxa"/>
          </w:tcPr>
          <w:p>
            <w:pPr>
              <w:spacing w:before="20" w:after="20"/>
            </w:pPr>
            <w:r>
              <w:rPr>
                <w:sz w:val="17"/>
                <w:szCs w:val="17"/>
              </w:rPr>
              <w:t xml:space="preserve">actor_klaus</w:t>
            </w:r>
          </w:p>
        </w:tc>
        <w:tc>
          <w:tcPr>
            <w:tcW w:w="3020" w:type="dxa"/>
          </w:tcPr>
          <w:p>
            <w:pPr>
              <w:spacing w:before="20" w:after="20"/>
            </w:pPr>
            <w:r>
              <w:rPr>
                <w:sz w:val="17"/>
                <w:szCs w:val="17"/>
              </w:rPr>
              <w:t xml:space="preserve">Approuvé après examen humain</w:t>
            </w:r>
          </w:p>
        </w:tc>
      </w:tr>
      <w:tr>
        <w:tc>
          <w:tcPr>
            <w:tcW w:w="3020" w:type="dxa"/>
          </w:tcPr>
          <w:p>
            <w:pPr>
              <w:spacing w:before="20" w:after="20"/>
            </w:pPr>
            <w:r>
              <w:rPr>
                <w:sz w:val="17"/>
                <w:szCs w:val="17"/>
              </w:rPr>
              <w:t xml:space="preserve">2026-07-10T11:52:53.718Z</w:t>
            </w:r>
          </w:p>
        </w:tc>
        <w:tc>
          <w:tcPr>
            <w:tcW w:w="3020" w:type="dxa"/>
          </w:tcPr>
          <w:p>
            <w:pPr>
              <w:spacing w:before="20" w:after="20"/>
            </w:pPr>
            <w:r>
              <w:rPr>
                <w:sz w:val="17"/>
                <w:szCs w:val="17"/>
              </w:rPr>
              <w:t xml:space="preserve">actor_klaus</w:t>
            </w:r>
          </w:p>
        </w:tc>
        <w:tc>
          <w:tcPr>
            <w:tcW w:w="3020" w:type="dxa"/>
          </w:tcPr>
          <w:p>
            <w:pPr>
              <w:spacing w:before="20" w:after="20"/>
            </w:pPr>
            <w:r>
              <w:rPr>
                <w:sz w:val="17"/>
                <w:szCs w:val="17"/>
              </w:rPr>
              <w:t xml:space="preserve">Approuvé après examen humain</w:t>
            </w:r>
          </w:p>
        </w:tc>
      </w:tr>
    </w:tbl>
    <w:p>
      <w:pPr>
        <w:spacing w:after="60"/>
      </w:pPr>
    </w:p>
    <w:p>
      <w:pPr>
        <w:spacing w:before="160" w:after="60"/>
      </w:pPr>
      <w:r>
        <w:rPr>
          <w:b/>
          <w:sz w:val="30"/>
          <w:szCs w:val="30"/>
        </w:rPr>
        <w:t xml:space="preserve">Synthèse des preuves</w:t>
      </w:r>
    </w:p>
    <w:p>
      <w:pPr>
        <w:spacing w:after="20"/>
      </w:pPr>
      <w:r>
        <w:rPr>
          <w:b/>
          <w:sz w:val="18"/>
          <w:szCs w:val="18"/>
        </w:rPr>
        <w:t xml:space="preserve">État de la chaîne de preuves: </w:t>
      </w:r>
      <w:r>
        <w:rPr>
          <w:sz w:val="18"/>
          <w:szCs w:val="18"/>
        </w:rPr>
        <w:t xml:space="preserve">invalide (suspicion de manipulation)</w:t>
      </w:r>
    </w:p>
    <w:p>
      <w:pPr>
        <w:spacing w:after="20"/>
      </w:pPr>
      <w:r>
        <w:rPr>
          <w:b/>
          <w:sz w:val="18"/>
          <w:szCs w:val="18"/>
        </w:rPr>
        <w:t xml:space="preserve">Nombre d’événements de preuve: </w:t>
      </w:r>
      <w:r>
        <w:rPr>
          <w:sz w:val="18"/>
          <w:szCs w:val="18"/>
        </w:rPr>
        <w:t xml:space="preserve">74</w:t>
      </w:r>
    </w:p>
    <w:p>
      <w:pPr>
        <w:spacing w:after="20"/>
      </w:pPr>
      <w:r>
        <w:rPr>
          <w:b/>
          <w:sz w:val="18"/>
          <w:szCs w:val="18"/>
        </w:rPr>
        <w:t xml:space="preserve">Vérification réussie: </w:t>
      </w:r>
      <w:r>
        <w:rPr>
          <w:sz w:val="18"/>
          <w:szCs w:val="18"/>
        </w:rPr>
        <w:t xml:space="preserve">Non</w:t>
      </w:r>
    </w:p>
    <w:p>
      <w:pPr>
        <w:spacing w:after="40"/>
      </w:pPr>
    </w:p>
    <w:p>
      <w:pPr>
        <w:shd w:val="clear" w:color="auto" w:fill="FDF5DB"/>
        <w:spacing w:before="40" w:after="80"/>
      </w:pPr>
      <w:r>
        <w:rPr>
          <w:sz w:val="18"/>
          <w:szCs w:val="18"/>
          <w:color w:val="664D07"/>
        </w:rPr>
        <w:t xml:space="preserve">Ancrage simulé (intégration PageCipher en attente) — signalé comme simulation.</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1812"/>
        <w:gridCol w:w="1812"/>
        <w:gridCol w:w="1812"/>
        <w:gridCol w:w="1812"/>
        <w:gridCol w:w="1812"/>
      </w:tblGrid>
      <w:tr>
        <w:tc>
          <w:tcPr>
            <w:tcW w:w="1812" w:type="dxa"/>
            <w:shd w:val="clear" w:color="auto" w:fill="EEF1F7"/>
          </w:tcPr>
          <w:p>
            <w:pPr>
              <w:spacing w:before="20" w:after="20"/>
            </w:pPr>
            <w:r>
              <w:rPr>
                <w:b/>
                <w:sz w:val="17"/>
                <w:szCs w:val="17"/>
              </w:rPr>
              <w:t xml:space="preserve">#</w:t>
            </w:r>
          </w:p>
        </w:tc>
        <w:tc>
          <w:tcPr>
            <w:tcW w:w="1812" w:type="dxa"/>
            <w:shd w:val="clear" w:color="auto" w:fill="EEF1F7"/>
          </w:tcPr>
          <w:p>
            <w:pPr>
              <w:spacing w:before="20" w:after="20"/>
            </w:pPr>
            <w:r>
              <w:rPr>
                <w:b/>
                <w:sz w:val="17"/>
                <w:szCs w:val="17"/>
              </w:rPr>
              <w:t xml:space="preserve">Horodatage</w:t>
            </w:r>
          </w:p>
        </w:tc>
        <w:tc>
          <w:tcPr>
            <w:tcW w:w="1812" w:type="dxa"/>
            <w:shd w:val="clear" w:color="auto" w:fill="EEF1F7"/>
          </w:tcPr>
          <w:p>
            <w:pPr>
              <w:spacing w:before="20" w:after="20"/>
            </w:pPr>
            <w:r>
              <w:rPr>
                <w:b/>
                <w:sz w:val="17"/>
                <w:szCs w:val="17"/>
              </w:rPr>
              <w:t xml:space="preserve">Acteur</w:t>
            </w:r>
          </w:p>
        </w:tc>
        <w:tc>
          <w:tcPr>
            <w:tcW w:w="1812" w:type="dxa"/>
            <w:shd w:val="clear" w:color="auto" w:fill="EEF1F7"/>
          </w:tcPr>
          <w:p>
            <w:pPr>
              <w:spacing w:before="20" w:after="20"/>
            </w:pPr>
            <w:r>
              <w:rPr>
                <w:b/>
                <w:sz w:val="17"/>
                <w:szCs w:val="17"/>
              </w:rPr>
              <w:t xml:space="preserve">Action</w:t>
            </w:r>
          </w:p>
        </w:tc>
        <w:tc>
          <w:tcPr>
            <w:tcW w:w="1812" w:type="dxa"/>
            <w:shd w:val="clear" w:color="auto" w:fill="EEF1F7"/>
          </w:tcPr>
          <w:p>
            <w:pPr>
              <w:spacing w:before="20" w:after="20"/>
            </w:pPr>
            <w:r>
              <w:rPr>
                <w:b/>
                <w:sz w:val="17"/>
                <w:szCs w:val="17"/>
              </w:rPr>
              <w:t xml:space="preserve">Hash</w:t>
            </w:r>
          </w:p>
        </w:tc>
      </w:tr>
      <w:tr>
        <w:tc>
          <w:tcPr>
            <w:tcW w:w="1812" w:type="dxa"/>
          </w:tcPr>
          <w:p>
            <w:pPr>
              <w:spacing w:before="20" w:after="20"/>
            </w:pPr>
            <w:r>
              <w:rPr>
                <w:sz w:val="17"/>
                <w:szCs w:val="17"/>
              </w:rPr>
              <w:t xml:space="preserve">674</w:t>
            </w:r>
          </w:p>
        </w:tc>
        <w:tc>
          <w:tcPr>
            <w:tcW w:w="1812" w:type="dxa"/>
          </w:tcPr>
          <w:p>
            <w:pPr>
              <w:spacing w:before="20" w:after="20"/>
            </w:pPr>
            <w:r>
              <w:rPr>
                <w:sz w:val="17"/>
                <w:szCs w:val="17"/>
              </w:rPr>
              <w:t xml:space="preserve">2026-09-02T19:07:58.696Z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e18b35d8602a…</w:t>
            </w:r>
          </w:p>
        </w:tc>
      </w:tr>
      <w:tr>
        <w:tc>
          <w:tcPr>
            <w:tcW w:w="1812" w:type="dxa"/>
          </w:tcPr>
          <w:p>
            <w:pPr>
              <w:spacing w:before="20" w:after="20"/>
            </w:pPr>
            <w:r>
              <w:rPr>
                <w:sz w:val="17"/>
                <w:szCs w:val="17"/>
              </w:rPr>
              <w:t xml:space="preserve">692</w:t>
            </w:r>
          </w:p>
        </w:tc>
        <w:tc>
          <w:tcPr>
            <w:tcW w:w="1812" w:type="dxa"/>
          </w:tcPr>
          <w:p>
            <w:pPr>
              <w:spacing w:before="20" w:after="20"/>
            </w:pPr>
            <w:r>
              <w:rPr>
                <w:sz w:val="17"/>
                <w:szCs w:val="17"/>
              </w:rPr>
              <w:t xml:space="preserve">2026-09-04T04:53:43.241Z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ce672229e052…</w:t>
            </w:r>
          </w:p>
        </w:tc>
      </w:tr>
      <w:tr>
        <w:tc>
          <w:tcPr>
            <w:tcW w:w="1812" w:type="dxa"/>
          </w:tcPr>
          <w:p>
            <w:pPr>
              <w:spacing w:before="20" w:after="20"/>
            </w:pPr>
            <w:r>
              <w:rPr>
                <w:sz w:val="17"/>
                <w:szCs w:val="17"/>
              </w:rPr>
              <w:t xml:space="preserve">696</w:t>
            </w:r>
          </w:p>
        </w:tc>
        <w:tc>
          <w:tcPr>
            <w:tcW w:w="1812" w:type="dxa"/>
          </w:tcPr>
          <w:p>
            <w:pPr>
              <w:spacing w:before="20" w:after="20"/>
            </w:pPr>
            <w:r>
              <w:rPr>
                <w:sz w:val="17"/>
                <w:szCs w:val="17"/>
              </w:rPr>
              <w:t xml:space="preserve">2026-09-04T04:54:26.545Z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6f8a7c8a6673…</w:t>
            </w:r>
          </w:p>
        </w:tc>
      </w:tr>
      <w:tr>
        <w:tc>
          <w:tcPr>
            <w:tcW w:w="1812" w:type="dxa"/>
          </w:tcPr>
          <w:p>
            <w:pPr>
              <w:spacing w:before="20" w:after="20"/>
            </w:pPr>
            <w:r>
              <w:rPr>
                <w:sz w:val="17"/>
                <w:szCs w:val="17"/>
              </w:rPr>
              <w:t xml:space="preserve">726</w:t>
            </w:r>
          </w:p>
        </w:tc>
        <w:tc>
          <w:tcPr>
            <w:tcW w:w="1812" w:type="dxa"/>
          </w:tcPr>
          <w:p>
            <w:pPr>
              <w:spacing w:before="20" w:after="20"/>
            </w:pPr>
            <w:r>
              <w:rPr>
                <w:sz w:val="17"/>
                <w:szCs w:val="17"/>
              </w:rPr>
              <w:t xml:space="preserve">2026-09-04T05:42:26.500Z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d326a38934ad…</w:t>
            </w:r>
          </w:p>
        </w:tc>
      </w:tr>
      <w:tr>
        <w:tc>
          <w:tcPr>
            <w:tcW w:w="1812" w:type="dxa"/>
          </w:tcPr>
          <w:p>
            <w:pPr>
              <w:spacing w:before="20" w:after="20"/>
            </w:pPr>
            <w:r>
              <w:rPr>
                <w:sz w:val="17"/>
                <w:szCs w:val="17"/>
              </w:rPr>
              <w:t xml:space="preserve">776</w:t>
            </w:r>
          </w:p>
        </w:tc>
        <w:tc>
          <w:tcPr>
            <w:tcW w:w="1812" w:type="dxa"/>
          </w:tcPr>
          <w:p>
            <w:pPr>
              <w:spacing w:before="20" w:after="20"/>
            </w:pPr>
            <w:r>
              <w:rPr>
                <w:sz w:val="17"/>
                <w:szCs w:val="17"/>
              </w:rPr>
              <w:t xml:space="preserve">2026-09-04T06:34:42.919Z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6dc74c9c68fd…</w:t>
            </w:r>
          </w:p>
        </w:tc>
      </w:tr>
      <w:tr>
        <w:tc>
          <w:tcPr>
            <w:tcW w:w="1812" w:type="dxa"/>
          </w:tcPr>
          <w:p>
            <w:pPr>
              <w:spacing w:before="20" w:after="20"/>
            </w:pPr>
            <w:r>
              <w:rPr>
                <w:sz w:val="17"/>
                <w:szCs w:val="17"/>
              </w:rPr>
              <w:t xml:space="preserve">780</w:t>
            </w:r>
          </w:p>
        </w:tc>
        <w:tc>
          <w:tcPr>
            <w:tcW w:w="1812" w:type="dxa"/>
          </w:tcPr>
          <w:p>
            <w:pPr>
              <w:spacing w:before="20" w:after="20"/>
            </w:pPr>
            <w:r>
              <w:rPr>
                <w:sz w:val="17"/>
                <w:szCs w:val="17"/>
              </w:rPr>
              <w:t xml:space="preserve">2026-09-04T06:34:52.690Z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eba816525367…</w:t>
            </w:r>
          </w:p>
        </w:tc>
      </w:tr>
      <w:tr>
        <w:tc>
          <w:tcPr>
            <w:tcW w:w="1812" w:type="dxa"/>
          </w:tcPr>
          <w:p>
            <w:pPr>
              <w:spacing w:before="20" w:after="20"/>
            </w:pPr>
            <w:r>
              <w:rPr>
                <w:sz w:val="17"/>
                <w:szCs w:val="17"/>
              </w:rPr>
              <w:t xml:space="preserve">796</w:t>
            </w:r>
          </w:p>
        </w:tc>
        <w:tc>
          <w:tcPr>
            <w:tcW w:w="1812" w:type="dxa"/>
          </w:tcPr>
          <w:p>
            <w:pPr>
              <w:spacing w:before="20" w:after="20"/>
            </w:pPr>
            <w:r>
              <w:rPr>
                <w:sz w:val="17"/>
                <w:szCs w:val="17"/>
              </w:rPr>
              <w:t xml:space="preserve">2026-09-04T06:38:09.648Z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09d47cfc39e4…</w:t>
            </w:r>
          </w:p>
        </w:tc>
      </w:tr>
      <w:tr>
        <w:tc>
          <w:tcPr>
            <w:tcW w:w="1812" w:type="dxa"/>
          </w:tcPr>
          <w:p>
            <w:pPr>
              <w:spacing w:before="20" w:after="20"/>
            </w:pPr>
            <w:r>
              <w:rPr>
                <w:sz w:val="17"/>
                <w:szCs w:val="17"/>
              </w:rPr>
              <w:t xml:space="preserve">832</w:t>
            </w:r>
          </w:p>
        </w:tc>
        <w:tc>
          <w:tcPr>
            <w:tcW w:w="1812" w:type="dxa"/>
          </w:tcPr>
          <w:p>
            <w:pPr>
              <w:spacing w:before="20" w:after="20"/>
            </w:pPr>
            <w:r>
              <w:rPr>
                <w:sz w:val="17"/>
                <w:szCs w:val="17"/>
              </w:rPr>
              <w:t xml:space="preserve">2026-09-04T06:46:59.197Z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7cf9a8bfcb2e…</w:t>
            </w:r>
          </w:p>
        </w:tc>
      </w:tr>
      <w:tr>
        <w:tc>
          <w:tcPr>
            <w:tcW w:w="1812" w:type="dxa"/>
          </w:tcPr>
          <w:p>
            <w:pPr>
              <w:spacing w:before="20" w:after="20"/>
            </w:pPr>
            <w:r>
              <w:rPr>
                <w:sz w:val="17"/>
                <w:szCs w:val="17"/>
              </w:rPr>
              <w:t xml:space="preserve">898</w:t>
            </w:r>
          </w:p>
        </w:tc>
        <w:tc>
          <w:tcPr>
            <w:tcW w:w="1812" w:type="dxa"/>
          </w:tcPr>
          <w:p>
            <w:pPr>
              <w:spacing w:before="20" w:after="20"/>
            </w:pPr>
            <w:r>
              <w:rPr>
                <w:sz w:val="17"/>
                <w:szCs w:val="17"/>
              </w:rPr>
              <w:t xml:space="preserve">2026-09-04T07:25:02.348Z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9204e9504d9a…</w:t>
            </w:r>
          </w:p>
        </w:tc>
      </w:tr>
      <w:tr>
        <w:tc>
          <w:tcPr>
            <w:tcW w:w="1812" w:type="dxa"/>
          </w:tcPr>
          <w:p>
            <w:pPr>
              <w:spacing w:before="20" w:after="20"/>
            </w:pPr>
            <w:r>
              <w:rPr>
                <w:sz w:val="17"/>
                <w:szCs w:val="17"/>
              </w:rPr>
              <w:t xml:space="preserve">905</w:t>
            </w:r>
          </w:p>
        </w:tc>
        <w:tc>
          <w:tcPr>
            <w:tcW w:w="1812" w:type="dxa"/>
          </w:tcPr>
          <w:p>
            <w:pPr>
              <w:spacing w:before="20" w:after="20"/>
            </w:pPr>
            <w:r>
              <w:rPr>
                <w:sz w:val="17"/>
                <w:szCs w:val="17"/>
              </w:rPr>
              <w:t xml:space="preserve">2026-09-04T07:25:09.422Z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eb124211e060…</w:t>
            </w:r>
          </w:p>
        </w:tc>
      </w:tr>
      <w:tr>
        <w:tc>
          <w:tcPr>
            <w:tcW w:w="1812" w:type="dxa"/>
          </w:tcPr>
          <w:p>
            <w:pPr>
              <w:spacing w:before="20" w:after="20"/>
            </w:pPr>
            <w:r>
              <w:rPr>
                <w:sz w:val="17"/>
                <w:szCs w:val="17"/>
              </w:rPr>
              <w:t xml:space="preserve">908</w:t>
            </w:r>
          </w:p>
        </w:tc>
        <w:tc>
          <w:tcPr>
            <w:tcW w:w="1812" w:type="dxa"/>
          </w:tcPr>
          <w:p>
            <w:pPr>
              <w:spacing w:before="20" w:after="20"/>
            </w:pPr>
            <w:r>
              <w:rPr>
                <w:sz w:val="17"/>
                <w:szCs w:val="17"/>
              </w:rPr>
              <w:t xml:space="preserve">2026-09-04T07:25:09.504Z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49d8d8d8c905…</w:t>
            </w:r>
          </w:p>
        </w:tc>
      </w:tr>
      <w:tr>
        <w:tc>
          <w:tcPr>
            <w:tcW w:w="1812" w:type="dxa"/>
          </w:tcPr>
          <w:p>
            <w:pPr>
              <w:spacing w:before="20" w:after="20"/>
            </w:pPr>
            <w:r>
              <w:rPr>
                <w:sz w:val="17"/>
                <w:szCs w:val="17"/>
              </w:rPr>
              <w:t xml:space="preserve">911</w:t>
            </w:r>
          </w:p>
        </w:tc>
        <w:tc>
          <w:tcPr>
            <w:tcW w:w="1812" w:type="dxa"/>
          </w:tcPr>
          <w:p>
            <w:pPr>
              <w:spacing w:before="20" w:after="20"/>
            </w:pPr>
            <w:r>
              <w:rPr>
                <w:sz w:val="17"/>
                <w:szCs w:val="17"/>
              </w:rPr>
              <w:t xml:space="preserve">2026-09-04T07:25:53.755Z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eceee2e99ea0…</w:t>
            </w:r>
          </w:p>
        </w:tc>
      </w:tr>
      <w:tr>
        <w:tc>
          <w:tcPr>
            <w:tcW w:w="1812" w:type="dxa"/>
          </w:tcPr>
          <w:p>
            <w:pPr>
              <w:spacing w:before="20" w:after="20"/>
            </w:pPr>
            <w:r>
              <w:rPr>
                <w:sz w:val="17"/>
                <w:szCs w:val="17"/>
              </w:rPr>
              <w:t xml:space="preserve">939</w:t>
            </w:r>
          </w:p>
        </w:tc>
        <w:tc>
          <w:tcPr>
            <w:tcW w:w="1812" w:type="dxa"/>
          </w:tcPr>
          <w:p>
            <w:pPr>
              <w:spacing w:before="20" w:after="20"/>
            </w:pPr>
            <w:r>
              <w:rPr>
                <w:sz w:val="17"/>
                <w:szCs w:val="17"/>
              </w:rPr>
              <w:t xml:space="preserve">2026-09-04T07:26:05.091Z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009f109992c1…</w:t>
            </w:r>
          </w:p>
        </w:tc>
      </w:tr>
      <w:tr>
        <w:tc>
          <w:tcPr>
            <w:tcW w:w="1812" w:type="dxa"/>
          </w:tcPr>
          <w:p>
            <w:pPr>
              <w:spacing w:before="20" w:after="20"/>
            </w:pPr>
            <w:r>
              <w:rPr>
                <w:sz w:val="17"/>
                <w:szCs w:val="17"/>
              </w:rPr>
              <w:t xml:space="preserve">976</w:t>
            </w:r>
          </w:p>
        </w:tc>
        <w:tc>
          <w:tcPr>
            <w:tcW w:w="1812" w:type="dxa"/>
          </w:tcPr>
          <w:p>
            <w:pPr>
              <w:spacing w:before="20" w:after="20"/>
            </w:pPr>
            <w:r>
              <w:rPr>
                <w:sz w:val="17"/>
                <w:szCs w:val="17"/>
              </w:rPr>
              <w:t xml:space="preserve">2026-09-04T07:26:50.044Z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6f9a9d54f176…</w:t>
            </w:r>
          </w:p>
        </w:tc>
      </w:tr>
    </w:tbl>
    <w:p>
      <w:pPr>
        <w:spacing w:after="60"/>
      </w:pPr>
    </w:p>
    <w:p>
      <w:pPr>
        <w:spacing w:before="160" w:after="60"/>
      </w:pPr>
      <w:r>
        <w:rPr>
          <w:b/>
          <w:sz w:val="25"/>
          <w:szCs w:val="25"/>
        </w:rPr>
        <w:t xml:space="preserve">État de l'ancre PageCipher</w:t>
      </w:r>
    </w:p>
    <w:p>
      <w:pPr>
        <w:spacing w:after="20"/>
      </w:pPr>
      <w:r>
        <w:rPr>
          <w:b/>
          <w:sz w:val="18"/>
          <w:szCs w:val="18"/>
        </w:rPr>
        <w:t xml:space="preserve">État de l'intégration PageCipher: </w:t>
      </w:r>
      <w:r>
        <w:rPr>
          <w:sz w:val="18"/>
          <w:szCs w:val="18"/>
        </w:rPr>
        <w:t xml:space="preserve">Actif (raccordement HTTP à PageCipher)</w:t>
      </w:r>
    </w:p>
    <w:p>
      <w:pPr>
        <w:spacing w:after="20"/>
      </w:pPr>
      <w:r>
        <w:rPr>
          <w:b/>
          <w:sz w:val="18"/>
          <w:szCs w:val="18"/>
        </w:rPr>
        <w:t xml:space="preserve">État de l'ancre PageCipher: </w:t>
      </w:r>
      <w:r>
        <w:rPr>
          <w:sz w:val="18"/>
          <w:szCs w:val="18"/>
        </w:rPr>
        <w:t xml:space="preserve">48/74 Ancré</w:t>
      </w:r>
    </w:p>
    <w:p>
      <w:pPr>
        <w:spacing w:after="20"/>
      </w:pPr>
      <w:r>
        <w:rPr>
          <w:b/>
          <w:sz w:val="18"/>
          <w:szCs w:val="18"/>
        </w:rPr>
        <w:t xml:space="preserve">Référence de l'ancre PageCipher: </w:t>
      </w:r>
      <w:r>
        <w:rPr>
          <w:sz w:val="18"/>
          <w:szCs w:val="18"/>
        </w:rPr>
        <w:t xml:space="preserve">pagecipher:2c25260d08b829c022ebab64e1ce89ea</w:t>
      </w:r>
    </w:p>
    <w:p>
      <w:pPr>
        <w:spacing w:after="20"/>
      </w:pPr>
      <w:r>
        <w:rPr>
          <w:b/>
          <w:sz w:val="18"/>
          <w:szCs w:val="18"/>
        </w:rPr>
        <w:t xml:space="preserve">Dernière tentative d'ancrage: </w:t>
      </w:r>
      <w:r>
        <w:rPr>
          <w:sz w:val="18"/>
          <w:szCs w:val="18"/>
        </w:rPr>
        <w:t xml:space="preserve">2026-09-04T07:26:50.049Z</w:t>
      </w:r>
    </w:p>
    <w:p>
      <w:pPr>
        <w:spacing w:after="40"/>
      </w:pPr>
    </w:p>
    <w:p>
      <w:pPr>
        <w:shd w:val="clear" w:color="auto" w:fill="FDF5DB"/>
        <w:spacing w:before="40" w:after="80"/>
      </w:pPr>
      <w:r>
        <w:rPr>
          <w:sz w:val="18"/>
          <w:szCs w:val="18"/>
          <w:color w:val="664D07"/>
        </w:rPr>
        <w:t xml:space="preserve">L'ancre PageCipher atteste l'intégrité et l'origine des preuves — elle ne certifie aucune conformité juridique.</w:t>
      </w:r>
    </w:p>
    <w:p>
      <w:pPr>
        <w:spacing w:before="160" w:after="60"/>
      </w:pPr>
      <w:r>
        <w:rPr>
          <w:b/>
          <w:sz w:val="30"/>
          <w:szCs w:val="30"/>
        </w:rPr>
        <w:t xml:space="preserve">Risques et lacunes ouverts</w:t>
      </w:r>
    </w:p>
    <w:p>
      <w:pPr>
        <w:ind w:left="240"/>
        <w:spacing w:after="20"/>
      </w:pPr>
      <w:r>
        <w:rPr>
          <w:sz w:val="19"/>
          <w:szCs w:val="19"/>
        </w:rPr>
        <w:t xml:space="preserve">•  </w:t>
      </w:r>
      <w:r>
        <w:rPr>
          <w:sz w:val="19"/>
          <w:szCs w:val="19"/>
        </w:rPr>
        <w:t xml:space="preserve">14 contrôles ouverts sans preuve</w:t>
      </w:r>
    </w:p>
    <w:p>
      <w:pPr>
        <w:ind w:left="240"/>
        <w:spacing w:after="20"/>
      </w:pPr>
      <w:r>
        <w:rPr>
          <w:sz w:val="19"/>
          <w:szCs w:val="19"/>
        </w:rPr>
        <w:t xml:space="preserve">•  </w:t>
      </w:r>
      <w:r>
        <w:rPr>
          <w:sz w:val="19"/>
          <w:szCs w:val="19"/>
        </w:rPr>
        <w:t xml:space="preserve">L'accès au logement doit-il être qualifié de prestation privée essentielle au sens de l'annexe III de l'EU AI Act ? Un examen juridique externe est recommandé ; jusqu'à clarification, le cas est traité comme proche du haut risque.</w:t>
      </w:r>
    </w:p>
    <w:p>
      <w:pPr>
        <w:spacing w:after="40"/>
      </w:pPr>
    </w:p>
    <w:p>
      <w:pPr>
        <w:spacing w:before="160" w:after="60"/>
      </w:pPr>
      <w:r>
        <w:rPr>
          <w:b/>
          <w:sz w:val="30"/>
          <w:szCs w:val="30"/>
        </w:rPr>
        <w:t xml:space="preserve">Mentions légales (avertissement)</w:t>
      </w:r>
    </w:p>
    <w:p>
      <w:pPr>
        <w:ind w:left="240"/>
        <w:spacing w:after="20"/>
      </w:pPr>
      <w:r>
        <w:rPr>
          <w:sz w:val="19"/>
          <w:szCs w:val="19"/>
        </w:rPr>
        <w:t xml:space="preserve">•  </w:t>
      </w:r>
      <w:r>
        <w:rPr>
          <w:sz w:val="19"/>
          <w:szCs w:val="19"/>
        </w:rPr>
        <w:t xml:space="preserve">Ce rapport ne certifie aucune conformité juridique.</w:t>
      </w:r>
    </w:p>
    <w:p>
      <w:pPr>
        <w:ind w:left="240"/>
        <w:spacing w:after="20"/>
      </w:pPr>
      <w:r>
        <w:rPr>
          <w:sz w:val="19"/>
          <w:szCs w:val="19"/>
        </w:rPr>
        <w:t xml:space="preserve">•  </w:t>
      </w:r>
      <w:r>
        <w:rPr>
          <w:sz w:val="19"/>
          <w:szCs w:val="19"/>
        </w:rPr>
        <w:t xml:space="preserve">La classification de risque est préliminaire et ne remplace pas une appréciation juridique.</w:t>
      </w:r>
    </w:p>
    <w:p>
      <w:pPr>
        <w:ind w:left="240"/>
        <w:spacing w:after="20"/>
      </w:pPr>
      <w:r>
        <w:rPr>
          <w:sz w:val="19"/>
          <w:szCs w:val="19"/>
        </w:rPr>
        <w:t xml:space="preserve">•  </w:t>
      </w:r>
      <w:r>
        <w:rPr>
          <w:sz w:val="19"/>
          <w:szCs w:val="19"/>
        </w:rPr>
        <w:t xml:space="preserve">L'appréciation juridique peut nécessiter un examen juridique spécialisé.</w:t>
      </w:r>
    </w:p>
    <w:p>
      <w:pPr>
        <w:ind w:left="240"/>
        <w:spacing w:after="20"/>
      </w:pPr>
      <w:r>
        <w:rPr>
          <w:sz w:val="19"/>
          <w:szCs w:val="19"/>
        </w:rPr>
        <w:t xml:space="preserve">•  </w:t>
      </w:r>
      <w:r>
        <w:rPr>
          <w:sz w:val="19"/>
          <w:szCs w:val="19"/>
        </w:rPr>
        <w:t xml:space="preserve">Ce rapport sert à préparer la gouvernance et la conformité sur une base probante. Il ne constitue ni un conseil juridique, ni une certification, ni une attestation de conformité.</w:t>
      </w:r>
    </w:p>
    <w:p>
      <w:pPr>
        <w:ind w:left="240"/>
        <w:spacing w:after="20"/>
      </w:pPr>
      <w:r>
        <w:rPr>
          <w:sz w:val="19"/>
          <w:szCs w:val="19"/>
        </w:rPr>
        <w:t xml:space="preserve">•  </w:t>
      </w:r>
      <w:r>
        <w:rPr>
          <w:sz w:val="19"/>
          <w:szCs w:val="19"/>
        </w:rPr>
        <w:t xml:space="preserve">La responsabilité humaine demeure obligatoire ; l'IA ne prend aucune décision automatique concernant des personnes.</w:t>
      </w:r>
    </w:p>
    <w:p>
      <w:pPr>
        <w:spacing w:after="40"/>
      </w:pPr>
    </w:p>
    <w:p>
      <w:pPr>
        <w:spacing w:before="160" w:after="60"/>
      </w:pPr>
      <w:r>
        <w:rPr>
          <w:b/>
          <w:sz w:val="30"/>
          <w:szCs w:val="30"/>
        </w:rPr>
        <w:t xml:space="preserve">Annexe</w:t>
      </w:r>
    </w:p>
    <w:p>
      <w:pPr>
        <w:spacing w:before="160" w:after="60"/>
      </w:pPr>
      <w:r>
        <w:rPr>
          <w:b/>
          <w:sz w:val="25"/>
          <w:szCs w:val="25"/>
        </w:rPr>
        <w:t xml:space="preserve">Catalogue des contrôles</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Contrôle</w:t>
            </w:r>
          </w:p>
        </w:tc>
        <w:tc>
          <w:tcPr>
            <w:tcW w:w="3020" w:type="dxa"/>
            <w:shd w:val="clear" w:color="auto" w:fill="EEF1F7"/>
          </w:tcPr>
          <w:p>
            <w:pPr>
              <w:spacing w:before="20" w:after="20"/>
            </w:pPr>
            <w:r>
              <w:rPr>
                <w:b/>
                <w:sz w:val="17"/>
                <w:szCs w:val="17"/>
              </w:rPr>
              <w:t xml:space="preserve">Source</w:t>
            </w:r>
          </w:p>
        </w:tc>
        <w:tc>
          <w:tcPr>
            <w:tcW w:w="3020" w:type="dxa"/>
            <w:shd w:val="clear" w:color="auto" w:fill="EEF1F7"/>
          </w:tcPr>
          <w:p>
            <w:pPr>
              <w:spacing w:before="20" w:after="20"/>
            </w:pPr>
            <w:r>
              <w:rPr>
                <w:b/>
                <w:sz w:val="17"/>
                <w:szCs w:val="17"/>
              </w:rPr>
              <w:t xml:space="preserve">Référence</w:t>
            </w:r>
          </w:p>
        </w:tc>
      </w:tr>
      <w:tr>
        <w:tc>
          <w:tcPr>
            <w:tcW w:w="3020" w:type="dxa"/>
          </w:tcPr>
          <w:p>
            <w:pPr>
              <w:spacing w:before="20" w:after="20"/>
            </w:pPr>
            <w:r>
              <w:rPr>
                <w:sz w:val="17"/>
                <w:szCs w:val="17"/>
              </w:rPr>
              <w:t xml:space="preserve">Vérification des pratiques interdites</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5</w:t>
            </w:r>
          </w:p>
        </w:tc>
      </w:tr>
      <w:tr>
        <w:tc>
          <w:tcPr>
            <w:tcW w:w="3020" w:type="dxa"/>
          </w:tcPr>
          <w:p>
            <w:pPr>
              <w:spacing w:before="20" w:after="20"/>
            </w:pPr>
            <w:r>
              <w:rPr>
                <w:sz w:val="17"/>
                <w:szCs w:val="17"/>
              </w:rPr>
              <w:t xml:space="preserve">Système de gestion des risques</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9</w:t>
            </w:r>
          </w:p>
        </w:tc>
      </w:tr>
      <w:tr>
        <w:tc>
          <w:tcPr>
            <w:tcW w:w="3020" w:type="dxa"/>
          </w:tcPr>
          <w:p>
            <w:pPr>
              <w:spacing w:before="20" w:after="20"/>
            </w:pPr>
            <w:r>
              <w:rPr>
                <w:sz w:val="17"/>
                <w:szCs w:val="17"/>
              </w:rPr>
              <w:t xml:space="preserve">Gouvernance des données</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10</w:t>
            </w:r>
          </w:p>
        </w:tc>
      </w:tr>
      <w:tr>
        <w:tc>
          <w:tcPr>
            <w:tcW w:w="3020" w:type="dxa"/>
          </w:tcPr>
          <w:p>
            <w:pPr>
              <w:spacing w:before="20" w:after="20"/>
            </w:pPr>
            <w:r>
              <w:rPr>
                <w:sz w:val="17"/>
                <w:szCs w:val="17"/>
              </w:rPr>
              <w:t xml:space="preserve">Documentation technique (proche de l'annexe IV)</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11 / Annex IV</w:t>
            </w:r>
          </w:p>
        </w:tc>
      </w:tr>
      <w:tr>
        <w:tc>
          <w:tcPr>
            <w:tcW w:w="3020" w:type="dxa"/>
          </w:tcPr>
          <w:p>
            <w:pPr>
              <w:spacing w:before="20" w:after="20"/>
            </w:pPr>
            <w:r>
              <w:rPr>
                <w:sz w:val="17"/>
                <w:szCs w:val="17"/>
              </w:rPr>
              <w:t xml:space="preserve">Journalisation</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12</w:t>
            </w:r>
          </w:p>
        </w:tc>
      </w:tr>
      <w:tr>
        <w:tc>
          <w:tcPr>
            <w:tcW w:w="3020" w:type="dxa"/>
          </w:tcPr>
          <w:p>
            <w:pPr>
              <w:spacing w:before="20" w:after="20"/>
            </w:pPr>
            <w:r>
              <w:rPr>
                <w:sz w:val="17"/>
                <w:szCs w:val="17"/>
              </w:rPr>
              <w:t xml:space="preserve">Transparence et marquage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13 / 50</w:t>
            </w:r>
          </w:p>
        </w:tc>
      </w:tr>
      <w:tr>
        <w:tc>
          <w:tcPr>
            <w:tcW w:w="3020" w:type="dxa"/>
          </w:tcPr>
          <w:p>
            <w:pPr>
              <w:spacing w:before="20" w:after="20"/>
            </w:pPr>
            <w:r>
              <w:rPr>
                <w:sz w:val="17"/>
                <w:szCs w:val="17"/>
              </w:rPr>
              <w:t xml:space="preserve">Supervision humaine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14</w:t>
            </w:r>
          </w:p>
        </w:tc>
      </w:tr>
      <w:tr>
        <w:tc>
          <w:tcPr>
            <w:tcW w:w="3020" w:type="dxa"/>
          </w:tcPr>
          <w:p>
            <w:pPr>
              <w:spacing w:before="20" w:after="20"/>
            </w:pPr>
            <w:r>
              <w:rPr>
                <w:sz w:val="17"/>
                <w:szCs w:val="17"/>
              </w:rPr>
              <w:t xml:space="preserve">Exactitude, robustesse, cybersécurité</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15</w:t>
            </w:r>
          </w:p>
        </w:tc>
      </w:tr>
      <w:tr>
        <w:tc>
          <w:tcPr>
            <w:tcW w:w="3020" w:type="dxa"/>
          </w:tcPr>
          <w:p>
            <w:pPr>
              <w:spacing w:before="20" w:after="20"/>
            </w:pPr>
            <w:r>
              <w:rPr>
                <w:sz w:val="17"/>
                <w:szCs w:val="17"/>
              </w:rPr>
              <w:t xml:space="preserve">Licéité du traitement</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6</w:t>
            </w:r>
          </w:p>
        </w:tc>
      </w:tr>
      <w:tr>
        <w:tc>
          <w:tcPr>
            <w:tcW w:w="3020" w:type="dxa"/>
          </w:tcPr>
          <w:p>
            <w:pPr>
              <w:spacing w:before="20" w:after="20"/>
            </w:pPr>
            <w:r>
              <w:rPr>
                <w:sz w:val="17"/>
                <w:szCs w:val="17"/>
              </w:rPr>
              <w:t xml:space="preserve">Minimisation des données</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5(1c)</w:t>
            </w:r>
          </w:p>
        </w:tc>
      </w:tr>
      <w:tr>
        <w:tc>
          <w:tcPr>
            <w:tcW w:w="3020" w:type="dxa"/>
          </w:tcPr>
          <w:p>
            <w:pPr>
              <w:spacing w:before="20" w:after="20"/>
            </w:pPr>
            <w:r>
              <w:rPr>
                <w:sz w:val="17"/>
                <w:szCs w:val="17"/>
              </w:rPr>
              <w:t xml:space="preserve">Analyse d'impact relative à la protection des données (AIPD)</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35</w:t>
            </w:r>
          </w:p>
        </w:tc>
      </w:tr>
      <w:tr>
        <w:tc>
          <w:tcPr>
            <w:tcW w:w="3020" w:type="dxa"/>
          </w:tcPr>
          <w:p>
            <w:pPr>
              <w:spacing w:before="20" w:after="20"/>
            </w:pPr>
            <w:r>
              <w:rPr>
                <w:sz w:val="17"/>
                <w:szCs w:val="17"/>
              </w:rPr>
              <w:t xml:space="preserve">Droits des personnes concernées</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12–22</w:t>
            </w:r>
          </w:p>
        </w:tc>
      </w:tr>
      <w:tr>
        <w:tc>
          <w:tcPr>
            <w:tcW w:w="3020" w:type="dxa"/>
          </w:tcPr>
          <w:p>
            <w:pPr>
              <w:spacing w:before="20" w:after="20"/>
            </w:pPr>
            <w:r>
              <w:rPr>
                <w:sz w:val="17"/>
                <w:szCs w:val="17"/>
              </w:rPr>
              <w:t xml:space="preserve">Surveillance des biais</w:t>
            </w:r>
          </w:p>
        </w:tc>
        <w:tc>
          <w:tcPr>
            <w:tcW w:w="3020" w:type="dxa"/>
          </w:tcPr>
          <w:p>
            <w:pPr>
              <w:spacing w:before="20" w:after="20"/>
            </w:pPr>
            <w:r>
              <w:rPr>
                <w:sz w:val="17"/>
                <w:szCs w:val="17"/>
              </w:rPr>
              <w:t xml:space="preserve">internal_policy</w:t>
            </w:r>
          </w:p>
        </w:tc>
        <w:tc>
          <w:tcPr>
            <w:tcW w:w="3020" w:type="dxa"/>
          </w:tcPr>
          <w:p>
            <w:pPr>
              <w:spacing w:before="20" w:after="20"/>
            </w:pPr>
            <w:r>
              <w:rPr>
                <w:sz w:val="17"/>
                <w:szCs w:val="17"/>
              </w:rPr>
              <w:t xml:space="preserve">SysTec Policy AI-BIAS-01</w:t>
            </w:r>
          </w:p>
        </w:tc>
      </w:tr>
      <w:tr>
        <w:tc>
          <w:tcPr>
            <w:tcW w:w="3020" w:type="dxa"/>
          </w:tcPr>
          <w:p>
            <w:pPr>
              <w:spacing w:before="20" w:after="20"/>
            </w:pPr>
            <w:r>
              <w:rPr>
                <w:sz w:val="17"/>
                <w:szCs w:val="17"/>
              </w:rPr>
              <w:t xml:space="preserve">Compétence en IA des personnes impliquées</w:t>
            </w:r>
          </w:p>
        </w:tc>
        <w:tc>
          <w:tcPr>
            <w:tcW w:w="3020" w:type="dxa"/>
          </w:tcPr>
          <w:p>
            <w:pPr>
              <w:spacing w:before="20" w:after="20"/>
            </w:pPr>
            <w:r>
              <w:rPr>
                <w:sz w:val="17"/>
                <w:szCs w:val="17"/>
              </w:rPr>
              <w:t xml:space="preserve">ai_literacy</w:t>
            </w:r>
          </w:p>
        </w:tc>
        <w:tc>
          <w:tcPr>
            <w:tcW w:w="3020" w:type="dxa"/>
          </w:tcPr>
          <w:p>
            <w:pPr>
              <w:spacing w:before="20" w:after="20"/>
            </w:pPr>
            <w:r>
              <w:rPr>
                <w:sz w:val="17"/>
                <w:szCs w:val="17"/>
              </w:rPr>
              <w:t xml:space="preserve">EU AI Act Art. 4</w:t>
            </w:r>
          </w:p>
        </w:tc>
      </w:tr>
      <w:tr>
        <w:tc>
          <w:tcPr>
            <w:tcW w:w="3020" w:type="dxa"/>
          </w:tcPr>
          <w:p>
            <w:pPr>
              <w:spacing w:before="20" w:after="20"/>
            </w:pPr>
            <w:r>
              <w:rPr>
                <w:sz w:val="17"/>
                <w:szCs w:val="17"/>
              </w:rPr>
              <w:t xml:space="preserve">Contrôle d'accès</w:t>
            </w:r>
          </w:p>
        </w:tc>
        <w:tc>
          <w:tcPr>
            <w:tcW w:w="3020" w:type="dxa"/>
          </w:tcPr>
          <w:p>
            <w:pPr>
              <w:spacing w:before="20" w:after="20"/>
            </w:pPr>
            <w:r>
              <w:rPr>
                <w:sz w:val="17"/>
                <w:szCs w:val="17"/>
              </w:rPr>
              <w:t xml:space="preserve">security</w:t>
            </w:r>
          </w:p>
        </w:tc>
        <w:tc>
          <w:tcPr>
            <w:tcW w:w="3020" w:type="dxa"/>
          </w:tcPr>
          <w:p>
            <w:pPr>
              <w:spacing w:before="20" w:after="20"/>
            </w:pPr>
            <w:r>
              <w:rPr>
                <w:sz w:val="17"/>
                <w:szCs w:val="17"/>
              </w:rPr>
              <w:t xml:space="preserve">ISO 27001 A.9 (Referenz)</w:t>
            </w:r>
          </w:p>
        </w:tc>
      </w:tr>
      <w:tr>
        <w:tc>
          <w:tcPr>
            <w:tcW w:w="3020" w:type="dxa"/>
          </w:tcPr>
          <w:p>
            <w:pPr>
              <w:spacing w:before="20" w:after="20"/>
            </w:pPr>
            <w:r>
              <w:rPr>
                <w:sz w:val="17"/>
                <w:szCs w:val="17"/>
              </w:rPr>
              <w:t xml:space="preserve">Chaîne d'audit/de preuves</w:t>
            </w:r>
          </w:p>
        </w:tc>
        <w:tc>
          <w:tcPr>
            <w:tcW w:w="3020" w:type="dxa"/>
          </w:tcPr>
          <w:p>
            <w:pPr>
              <w:spacing w:before="20" w:after="20"/>
            </w:pPr>
            <w:r>
              <w:rPr>
                <w:sz w:val="17"/>
                <w:szCs w:val="17"/>
              </w:rPr>
              <w:t xml:space="preserve">audit</w:t>
            </w:r>
          </w:p>
        </w:tc>
        <w:tc>
          <w:tcPr>
            <w:tcW w:w="3020" w:type="dxa"/>
          </w:tcPr>
          <w:p>
            <w:pPr>
              <w:spacing w:before="20" w:after="20"/>
            </w:pPr>
            <w:r>
              <w:rPr>
                <w:sz w:val="17"/>
                <w:szCs w:val="17"/>
              </w:rPr>
              <w:t xml:space="preserve">SysTec Evidence Standard (ADR-003)</w:t>
            </w:r>
          </w:p>
        </w:tc>
      </w:tr>
    </w:tbl>
    <w:p>
      <w:pPr>
        <w:spacing w:after="60"/>
      </w:pPr>
    </w:p>
    <w:p>
      <w:pPr>
        <w:spacing w:before="160" w:after="60"/>
      </w:pPr>
      <w:r>
        <w:rPr>
          <w:b/>
          <w:sz w:val="25"/>
          <w:szCs w:val="25"/>
        </w:rPr>
        <w:t xml:space="preserve">Métadonnées de génération</w:t>
      </w:r>
    </w:p>
    <w:p>
      <w:pPr>
        <w:spacing w:after="20"/>
      </w:pPr>
      <w:r>
        <w:rPr>
          <w:b/>
          <w:sz w:val="18"/>
          <w:szCs w:val="18"/>
        </w:rPr>
        <w:t xml:space="preserve">Généré le: </w:t>
      </w:r>
      <w:r>
        <w:rPr>
          <w:sz w:val="18"/>
          <w:szCs w:val="18"/>
        </w:rPr>
        <w:t xml:space="preserve">2026-09-04T07:32:58.298Z</w:t>
      </w:r>
    </w:p>
    <w:p>
      <w:pPr>
        <w:spacing w:after="20"/>
      </w:pPr>
      <w:r>
        <w:rPr>
          <w:b/>
          <w:sz w:val="18"/>
          <w:szCs w:val="18"/>
        </w:rPr>
        <w:t xml:space="preserve">Version: </w:t>
      </w:r>
      <w:r>
        <w:rPr>
          <w:sz w:val="18"/>
          <w:szCs w:val="18"/>
        </w:rPr>
        <w:t xml:space="preserve">0.1.0</w:t>
      </w:r>
    </w:p>
    <w:p>
      <w:pPr>
        <w:spacing w:after="20"/>
      </w:pPr>
      <w:r>
        <w:rPr>
          <w:b/>
          <w:sz w:val="18"/>
          <w:szCs w:val="18"/>
        </w:rPr>
        <w:t xml:space="preserve">Couverture linguistique: </w:t>
      </w:r>
      <w:r>
        <w:rPr>
          <w:sz w:val="18"/>
          <w:szCs w:val="18"/>
        </w:rPr>
        <w:t xml:space="preserve">100 %</w:t>
      </w:r>
    </w:p>
    <w:p>
      <w:pPr>
        <w:spacing w:after="20"/>
      </w:pPr>
      <w:r>
        <w:rPr>
          <w:b/>
          <w:sz w:val="18"/>
          <w:szCs w:val="18"/>
        </w:rPr>
        <w:t xml:space="preserve">Nombre d’événements de preuve: </w:t>
      </w:r>
      <w:r>
        <w:rPr>
          <w:sz w:val="18"/>
          <w:szCs w:val="18"/>
        </w:rPr>
        <w:t xml:space="preserve">1041</w:t>
      </w:r>
    </w:p>
    <w:p>
      <w:pPr>
        <w:spacing w:after="40"/>
      </w:pPr>
    </w:p>
    <w:p>
      <w:sectPr>
        <w:pgSz w:w="11906" w:h="16838"/>
        <w:pgMar w:top="1134" w:right="1134" w:bottom="1134" w:left="1134" w:header="720" w:footer="720" w:gutter="0"/>
      </w:sectPr>
    </w:p>
  </w:body>
</w:document>
</file>