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Rapport de gouvernance — Analyse de bien/marché assistée par IA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préparation à la gouvernance, appui à l'assurance et preuves prêtes pour l'audit. Aucune attestation de conformité juridique.</w:t>
      </w:r>
    </w:p>
    <w:p>
      <w:pPr>
        <w:spacing w:after="20"/>
      </w:pPr>
      <w:r>
        <w:rPr>
          <w:b/>
          <w:sz w:val="18"/>
          <w:szCs w:val="18"/>
        </w:rPr>
        <w:t xml:space="preserve">Produit: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 d'usage: </w:t>
      </w:r>
      <w:r>
        <w:rPr>
          <w:sz w:val="18"/>
          <w:szCs w:val="18"/>
        </w:rPr>
        <w:t xml:space="preserve">uc_cx_b02 (v1)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Langue: </w:t>
      </w:r>
      <w:r>
        <w:rPr>
          <w:sz w:val="18"/>
          <w:szCs w:val="18"/>
        </w:rPr>
        <w:t xml:space="preserve">FR</w:t>
      </w:r>
    </w:p>
    <w:p>
      <w:pPr>
        <w:spacing w:after="20"/>
      </w:pPr>
      <w:r>
        <w:rPr>
          <w:b/>
          <w:sz w:val="18"/>
          <w:szCs w:val="18"/>
        </w:rPr>
        <w:t xml:space="preserve">Mode des données: </w:t>
      </w:r>
      <w:r>
        <w:rPr>
          <w:sz w:val="18"/>
          <w:szCs w:val="18"/>
        </w:rPr>
        <w:t xml:space="preserve">synthétique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2026-09-04T07:25:53.780Z</w:t>
      </w:r>
    </w:p>
    <w:p>
      <w:pPr>
        <w:spacing w:after="20"/>
      </w:pPr>
      <w:r>
        <w:rPr>
          <w:b/>
          <w:sz w:val="18"/>
          <w:szCs w:val="18"/>
        </w:rPr>
        <w:t xml:space="preserve">État du rapport: </w:t>
      </w:r>
      <w:r>
        <w:rPr>
          <w:sz w:val="18"/>
          <w:szCs w:val="18"/>
        </w:rPr>
        <w:t xml:space="preserve">Actif</w:t>
      </w:r>
    </w:p>
    <w:p>
      <w:pPr>
        <w:spacing w:after="20"/>
      </w:pPr>
      <w:r>
        <w:rPr>
          <w:b/>
          <w:sz w:val="18"/>
          <w:szCs w:val="18"/>
        </w:rPr>
        <w:t xml:space="preserve">Hachage d'intégrité: </w:t>
      </w:r>
      <w:r>
        <w:rPr>
          <w:sz w:val="18"/>
          <w:szCs w:val="18"/>
        </w:rPr>
        <w:t xml:space="preserve">b3ac084dd94025b1…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repose exclusivement sur des données synthétiques (exploitation pilote). Aucune donnée personnelle réelle.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Synthèse pour les décideurs</w:t>
      </w:r>
    </w:p>
    <w:p>
      <w:pPr>
        <w:spacing w:after="60"/>
      </w:pPr>
      <w:r>
        <w:rPr>
          <w:sz w:val="19"/>
          <w:szCs w:val="19"/>
        </w:rPr>
        <w:t xml:space="preserve">Analyses de marché, d'emplacement et de biens pour l'évaluation interne — séparation stricte entre l'analyse générale et la décision individuelle.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Analyse de marché générale sans lien avec des personnes ; l'usage proche de la décision constitue un cas d'usage distinct et classé à un niveau supérieur.</w:t>
      </w:r>
    </w:p>
    <w:p>
      <w:pPr>
        <w:spacing w:after="20"/>
      </w:pPr>
      <w:r>
        <w:rPr>
          <w:b/>
          <w:sz w:val="18"/>
          <w:szCs w:val="18"/>
        </w:rPr>
        <w:t xml:space="preserve">Classe de risque préliminaire: </w:t>
      </w:r>
      <w:r>
        <w:rPr>
          <w:sz w:val="18"/>
          <w:szCs w:val="18"/>
        </w:rPr>
        <w:t xml:space="preserve">Risque limité — vérifier les obligations de transparence</w:t>
      </w:r>
    </w:p>
    <w:p>
      <w:pPr>
        <w:spacing w:after="20"/>
      </w:pPr>
      <w:r>
        <w:rPr>
          <w:b/>
          <w:sz w:val="18"/>
          <w:szCs w:val="18"/>
        </w:rPr>
        <w:t xml:space="preserve">Supervision humaine requise: </w:t>
      </w:r>
      <w:r>
        <w:rPr>
          <w:sz w:val="18"/>
          <w:szCs w:val="18"/>
        </w:rPr>
        <w:t xml:space="preserve">Non</w:t>
      </w:r>
    </w:p>
    <w:p>
      <w:pPr>
        <w:spacing w:after="20"/>
      </w:pPr>
      <w:r>
        <w:rPr>
          <w:b/>
          <w:sz w:val="18"/>
          <w:szCs w:val="18"/>
        </w:rPr>
        <w:t xml:space="preserve">Préparation à la gouvernance: </w:t>
      </w:r>
      <w:r>
        <w:rPr>
          <w:sz w:val="18"/>
          <w:szCs w:val="18"/>
        </w:rPr>
        <w:t xml:space="preserve">1/2 Contrôles avec preuve/examinés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préparation à la gouvernance désigne le degré de préparation (preuves disponibles/examinées) — elle ne certifie aucune conformité.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 du cas d'usage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Analyse de marché générale sans lien avec des personnes ; l'usage proche de la décision constitue un cas d'usage distinct et classé à un niveau supérieur.</w:t>
      </w:r>
    </w:p>
    <w:p>
      <w:pPr>
        <w:spacing w:after="20"/>
      </w:pPr>
      <w:r>
        <w:rPr>
          <w:b/>
          <w:sz w:val="18"/>
          <w:szCs w:val="18"/>
        </w:rPr>
        <w:t xml:space="preserve">Groupes de personnes concernées: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Sources de données: </w:t>
      </w:r>
      <w:r>
        <w:rPr>
          <w:sz w:val="18"/>
          <w:szCs w:val="18"/>
        </w:rPr>
        <w:t xml:space="preserve">marktdaten_aggregiert, objektdaten</w:t>
      </w:r>
    </w:p>
    <w:p>
      <w:pPr>
        <w:spacing w:after="20"/>
      </w:pPr>
      <w:r>
        <w:rPr>
          <w:b/>
          <w:sz w:val="18"/>
          <w:szCs w:val="18"/>
        </w:rPr>
        <w:t xml:space="preserve">Fonction IA: </w:t>
      </w:r>
      <w:r>
        <w:rPr>
          <w:sz w:val="18"/>
          <w:szCs w:val="18"/>
        </w:rPr>
        <w:t xml:space="preserve">analysis, generation</w:t>
      </w:r>
    </w:p>
    <w:p>
      <w:pPr>
        <w:spacing w:after="20"/>
      </w:pPr>
      <w:r>
        <w:rPr>
          <w:b/>
          <w:sz w:val="18"/>
          <w:szCs w:val="18"/>
        </w:rPr>
        <w:t xml:space="preserve">Impacts possibles: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Espace juridique: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État du cycle de vie: </w:t>
      </w:r>
      <w:r>
        <w:rPr>
          <w:sz w:val="18"/>
          <w:szCs w:val="18"/>
        </w:rPr>
        <w:t xml:space="preserve">Actif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Évaluation des risques (préliminaire)</w:t>
      </w:r>
    </w:p>
    <w:p>
      <w:pPr>
        <w:spacing w:after="20"/>
      </w:pPr>
      <w:r>
        <w:rPr>
          <w:b/>
          <w:sz w:val="18"/>
          <w:szCs w:val="18"/>
        </w:rPr>
        <w:t xml:space="preserve">Classe de risque préliminaire: </w:t>
      </w:r>
      <w:r>
        <w:rPr>
          <w:sz w:val="18"/>
          <w:szCs w:val="18"/>
        </w:rPr>
        <w:t xml:space="preserve">Risque limité — vérifier les obligations de transparence</w:t>
      </w:r>
    </w:p>
    <w:p>
      <w:pPr>
        <w:spacing w:after="20"/>
      </w:pPr>
      <w:r>
        <w:rPr>
          <w:b/>
          <w:sz w:val="18"/>
          <w:szCs w:val="18"/>
        </w:rPr>
        <w:t xml:space="preserve">Niveau de confiance de l'évaluation: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Jeu de règles: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Examen humain requis: </w:t>
      </w:r>
      <w:r>
        <w:rPr>
          <w:sz w:val="18"/>
          <w:szCs w:val="18"/>
        </w:rPr>
        <w:t xml:space="preserve">Non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classification de risque est préliminaire et ne remplace pas une appréciation juridique.</w:t>
      </w:r>
    </w:p>
    <w:p>
      <w:pPr>
        <w:spacing w:before="160" w:after="60"/>
      </w:pPr>
      <w:r>
        <w:rPr>
          <w:b/>
          <w:sz w:val="25"/>
          <w:szCs w:val="25"/>
        </w:rPr>
        <w:t xml:space="preserve">Justification (référence aux règles)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Fonction IA générative ou de recommandation — les obligations de transparence et de marquage sont à vérifier.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Mesures d'atténuation recommandées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Signaler les contenus générés par l'IA comme tels ; l'escalade vers un humain reste possible à tout moment.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Incertitude de l'évaluation</w:t>
      </w:r>
    </w:p>
    <w:p>
      <w:pPr>
        <w:spacing w:after="60"/>
      </w:pPr>
      <w:r>
        <w:rPr>
          <w:sz w:val="19"/>
          <w:szCs w:val="19"/>
        </w:rPr>
        <w:t xml:space="preserve">Le jeu de règles v0.1 s'appuie sur des heuristiques d'examen internes relatives à l'EU AI Act, au RGPD/GDPR, à la LPD suisse et au contexte britannique. L'évaluation dépend de l'exhaustivité des informations du registre et ne remplace pas un examen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Aperçu des politiques et des contrôles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L'état du contrôle documente l'examen des preuves — il ne certifie aucune conformité.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Contrôle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Référence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État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Preuves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Transparence et marquage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Preuve jointe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Compétence en IA des personnes impliquées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Lacunes ouvertes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Compétence en IA des personnes impliquées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Supervision humaine</w:t>
      </w:r>
    </w:p>
    <w:p>
      <w:pPr>
        <w:spacing w:after="20"/>
      </w:pPr>
      <w:r>
        <w:rPr>
          <w:b/>
          <w:sz w:val="18"/>
          <w:szCs w:val="18"/>
        </w:rPr>
        <w:t xml:space="preserve">Humain responsable: </w:t>
      </w:r>
      <w:r>
        <w:rPr>
          <w:sz w:val="18"/>
          <w:szCs w:val="18"/>
        </w:rPr>
        <w:t xml:space="preserve">actor_klaus</w:t>
      </w:r>
    </w:p>
    <w:p>
      <w:pPr>
        <w:spacing w:after="20"/>
      </w:pPr>
      <w:r>
        <w:rPr>
          <w:b/>
          <w:sz w:val="18"/>
          <w:szCs w:val="18"/>
        </w:rPr>
        <w:t xml:space="preserve">Personne chargée de la vérification: </w:t>
      </w:r>
      <w:r>
        <w:rPr>
          <w:sz w:val="18"/>
          <w:szCs w:val="18"/>
        </w:rPr>
        <w:t xml:space="preserve">actor_klaus (reviewer)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responsabilité humaine demeure obligatoire ; l'IA ne prend aucune décision automatique concernant des personnes.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Historique des examens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Horodatage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Personne chargée de la vérification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Décision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2026-08-30T09:18:13.377Z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Approuvé après examen humain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Synthèse des preuves</w:t>
      </w:r>
    </w:p>
    <w:p>
      <w:pPr>
        <w:spacing w:after="20"/>
      </w:pPr>
      <w:r>
        <w:rPr>
          <w:b/>
          <w:sz w:val="18"/>
          <w:szCs w:val="18"/>
        </w:rPr>
        <w:t xml:space="preserve">État de la chaîne de preuves: </w:t>
      </w:r>
      <w:r>
        <w:rPr>
          <w:sz w:val="18"/>
          <w:szCs w:val="18"/>
        </w:rPr>
        <w:t xml:space="preserve">invalide (suspicion de manipulation)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50</w:t>
      </w:r>
    </w:p>
    <w:p>
      <w:pPr>
        <w:spacing w:after="20"/>
      </w:pPr>
      <w:r>
        <w:rPr>
          <w:b/>
          <w:sz w:val="18"/>
          <w:szCs w:val="18"/>
        </w:rPr>
        <w:t xml:space="preserve">Vérification réussie: </w:t>
      </w:r>
      <w:r>
        <w:rPr>
          <w:sz w:val="18"/>
          <w:szCs w:val="18"/>
        </w:rPr>
        <w:t xml:space="preserve">Non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Ancrage simulé (intégration PageCipher en attente) — signalé comme simulation.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Horodatage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Acteur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2026-09-02T19:07:57.685Z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44fa9e987ed4…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2026-09-04T04:53:58.247Z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11e18608e5f7…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778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2026-09-04T06:34:47.679Z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9f7fb8dd00ee…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2026-09-04T06:34:57.682Z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7cf66fb74119…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2026-09-04T06:37:35.707Z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342f946806b4…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2026-09-04T06:38:19.397Z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dab66a3b0d24…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2026-09-04T06:38:24.400Z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53ad0979076d…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2026-09-04T06:38:30.668Z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f36cb9a72b2e…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2026-09-04T06:39:51.531Z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6cc0a5c95335…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2026-09-04T06:46:54.199Z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59f62356284b…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888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2026-09-04T07:24:30.955Z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30392c971be6…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2026-09-04T07:25:00.771Z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b60035b0111c…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891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2026-09-04T07:25:00.816Z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32ad011b5a30…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2026-09-04T07:25:02.568Z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669becdfe473…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État de l'ancre PageCipher</w:t>
      </w:r>
    </w:p>
    <w:p>
      <w:pPr>
        <w:spacing w:after="20"/>
      </w:pPr>
      <w:r>
        <w:rPr>
          <w:b/>
          <w:sz w:val="18"/>
          <w:szCs w:val="18"/>
        </w:rPr>
        <w:t xml:space="preserve">État de l'intégration PageCipher: </w:t>
      </w:r>
      <w:r>
        <w:rPr>
          <w:sz w:val="18"/>
          <w:szCs w:val="18"/>
        </w:rPr>
        <w:t xml:space="preserve">Actif (raccordement HTTP à PageCipher)</w:t>
      </w:r>
    </w:p>
    <w:p>
      <w:pPr>
        <w:spacing w:after="20"/>
      </w:pPr>
      <w:r>
        <w:rPr>
          <w:b/>
          <w:sz w:val="18"/>
          <w:szCs w:val="18"/>
        </w:rPr>
        <w:t xml:space="preserve">État de l'ancre PageCipher: </w:t>
      </w:r>
      <w:r>
        <w:rPr>
          <w:sz w:val="18"/>
          <w:szCs w:val="18"/>
        </w:rPr>
        <w:t xml:space="preserve">36/50 Ancré</w:t>
      </w:r>
    </w:p>
    <w:p>
      <w:pPr>
        <w:spacing w:after="20"/>
      </w:pPr>
      <w:r>
        <w:rPr>
          <w:b/>
          <w:sz w:val="18"/>
          <w:szCs w:val="18"/>
        </w:rPr>
        <w:t xml:space="preserve">Référence de l'ancre PageCipher: </w:t>
      </w:r>
      <w:r>
        <w:rPr>
          <w:sz w:val="18"/>
          <w:szCs w:val="18"/>
        </w:rPr>
        <w:t xml:space="preserve">pagecipher:768c8ab9ea6d22063e6e7a2b542da2fd</w:t>
      </w:r>
    </w:p>
    <w:p>
      <w:pPr>
        <w:spacing w:after="20"/>
      </w:pPr>
      <w:r>
        <w:rPr>
          <w:b/>
          <w:sz w:val="18"/>
          <w:szCs w:val="18"/>
        </w:rPr>
        <w:t xml:space="preserve">Dernière tentative d'ancrage: </w:t>
      </w:r>
      <w:r>
        <w:rPr>
          <w:sz w:val="18"/>
          <w:szCs w:val="18"/>
        </w:rPr>
        <w:t xml:space="preserve">2026-09-04T07:25:02.573Z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L'ancre PageCipher atteste l'intégrité et l'origine des preuves — elle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Risques et lacunes ouverts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contrôles ouverts sans preuve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Mentions légales (avertissement)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ne certifie aucune conformité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classification de risque est préliminaire et ne remplace pas une appréciation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L'appréciation juridique peut nécessiter un examen juridique spécialisé.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sert à préparer la gouvernance et la conformité sur une base probante. Il ne constitue ni un conseil juridique, ni une certification, ni une attestation de conformité.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responsabilité humaine demeure obligatoire ; l'IA ne prend aucune décision automatique concernant des personnes.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Annexe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Catalogue des contrôles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Contrôle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Source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Référence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Vérification des pratiques interdites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Système de gestion des risques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Gouvernance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Documentation technique (proche de l'annexe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Journalisation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Transparence et marquage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 humaine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Exactitude, robustesse, cybersécurité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Licéité du traitement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Minimisation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Analyse d'impact relative à la protection des données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Droits des personnes concernées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Surveillance des biais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Compétence en IA des personnes impliquées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Contrôle d'accès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Chaîne d'audit/de preuves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Métadonnées de génération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2026-09-04T07:25:53.780Z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Couverture linguistique: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911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