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Report di governance — Analisi immobiliare/di mercato supportata dall'IA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preparazione alla governance, supporto all'assurance ed evidenze audit-ready. Nessuna attestazione di conformità giuridica.</w:t>
      </w:r>
    </w:p>
    <w:p>
      <w:pPr>
        <w:spacing w:after="20"/>
      </w:pPr>
      <w:r>
        <w:rPr>
          <w:b/>
          <w:sz w:val="18"/>
          <w:szCs w:val="18"/>
        </w:rPr>
        <w:t xml:space="preserve">Prodotto: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uc_cx_b02 (v1)</w:t>
      </w:r>
    </w:p>
    <w:p>
      <w:pPr>
        <w:spacing w:after="20"/>
      </w:pPr>
      <w:r>
        <w:rPr>
          <w:b/>
          <w:sz w:val="18"/>
          <w:szCs w:val="18"/>
        </w:rPr>
        <w:t xml:space="preserve">Sistema sorgente: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Lingua: </w:t>
      </w:r>
      <w:r>
        <w:rPr>
          <w:sz w:val="18"/>
          <w:szCs w:val="18"/>
        </w:rPr>
        <w:t xml:space="preserve">IT</w:t>
      </w:r>
    </w:p>
    <w:p>
      <w:pPr>
        <w:spacing w:after="20"/>
      </w:pPr>
      <w:r>
        <w:rPr>
          <w:b/>
          <w:sz w:val="18"/>
          <w:szCs w:val="18"/>
        </w:rPr>
        <w:t xml:space="preserve">Modalità dati: </w:t>
      </w:r>
      <w:r>
        <w:rPr>
          <w:sz w:val="18"/>
          <w:szCs w:val="18"/>
        </w:rPr>
        <w:t xml:space="preserve">sintetico</w:t>
      </w:r>
    </w:p>
    <w:p>
      <w:pPr>
        <w:spacing w:after="20"/>
      </w:pPr>
      <w:r>
        <w:rPr>
          <w:b/>
          <w:sz w:val="18"/>
          <w:szCs w:val="18"/>
        </w:rPr>
        <w:t xml:space="preserve">Creato il: </w:t>
      </w:r>
      <w:r>
        <w:rPr>
          <w:sz w:val="18"/>
          <w:szCs w:val="18"/>
        </w:rPr>
        <w:t xml:space="preserve">2026-09-04T07:24:30.941Z</w:t>
      </w:r>
    </w:p>
    <w:p>
      <w:pPr>
        <w:spacing w:after="20"/>
      </w:pPr>
      <w:r>
        <w:rPr>
          <w:b/>
          <w:sz w:val="18"/>
          <w:szCs w:val="18"/>
        </w:rPr>
        <w:t xml:space="preserve">Stato del report: </w:t>
      </w:r>
      <w:r>
        <w:rPr>
          <w:sz w:val="18"/>
          <w:szCs w:val="18"/>
        </w:rPr>
        <w:t xml:space="preserve">Attivo</w:t>
      </w:r>
    </w:p>
    <w:p>
      <w:pPr>
        <w:spacing w:after="20"/>
      </w:pPr>
      <w:r>
        <w:rPr>
          <w:b/>
          <w:sz w:val="18"/>
          <w:szCs w:val="18"/>
        </w:rPr>
        <w:t xml:space="preserve">Hash di integrità: </w:t>
      </w:r>
      <w:r>
        <w:rPr>
          <w:sz w:val="18"/>
          <w:szCs w:val="18"/>
        </w:rPr>
        <w:t xml:space="preserve">3afcc791f4db5f1f…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Il presente report si basa esclusivamente su dati sintetici (esercizio pilota). Nessun dato personale reale.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Il presente report non certifica alcuna conformità giuridica.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Sintesi per i decisori</w:t>
      </w:r>
    </w:p>
    <w:p>
      <w:pPr>
        <w:spacing w:after="60"/>
      </w:pPr>
      <w:r>
        <w:rPr>
          <w:sz w:val="19"/>
          <w:szCs w:val="19"/>
        </w:rPr>
        <w:t xml:space="preserve">Analisi di mercato, di ubicazione e di immobili per la valutazione interna — netta separazione tra analisi generale e decisione individuale.</w:t>
      </w:r>
    </w:p>
    <w:p>
      <w:pPr>
        <w:spacing w:after="20"/>
      </w:pPr>
      <w:r>
        <w:rPr>
          <w:b/>
          <w:sz w:val="18"/>
          <w:szCs w:val="18"/>
        </w:rPr>
        <w:t xml:space="preserve">Finalità prevista: </w:t>
      </w:r>
      <w:r>
        <w:rPr>
          <w:sz w:val="18"/>
          <w:szCs w:val="18"/>
        </w:rPr>
        <w:t xml:space="preserve">Analisi di mercato generale senza riferimento a persone; l'uso vicino alla decisione è un caso d'uso separato e classificato a un livello superiore.</w:t>
      </w:r>
    </w:p>
    <w:p>
      <w:pPr>
        <w:spacing w:after="20"/>
      </w:pPr>
      <w:r>
        <w:rPr>
          <w:b/>
          <w:sz w:val="18"/>
          <w:szCs w:val="18"/>
        </w:rPr>
        <w:t xml:space="preserve">Classe di rischio preliminare: </w:t>
      </w:r>
      <w:r>
        <w:rPr>
          <w:sz w:val="18"/>
          <w:szCs w:val="18"/>
        </w:rPr>
        <w:t xml:space="preserve">Rischio limitato — verificare gli obblighi di trasparenza</w:t>
      </w:r>
    </w:p>
    <w:p>
      <w:pPr>
        <w:spacing w:after="20"/>
      </w:pPr>
      <w:r>
        <w:rPr>
          <w:b/>
          <w:sz w:val="18"/>
          <w:szCs w:val="18"/>
        </w:rPr>
        <w:t xml:space="preserve">Supervisione umana necessaria: </w:t>
      </w:r>
      <w:r>
        <w:rPr>
          <w:sz w:val="18"/>
          <w:szCs w:val="18"/>
        </w:rPr>
        <w:t xml:space="preserve">No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1/2 Controlli con prova/verificati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Governance Readiness indica il grado di preparazione (prove presenti/verificate) — non certifica alcuna conformità.</w:t>
      </w:r>
    </w:p>
    <w:p>
      <w:pPr>
        <w:spacing w:before="160" w:after="60"/>
      </w:pPr>
      <w:r>
        <w:rPr>
          <w:b/>
          <w:sz w:val="30"/>
          <w:szCs w:val="30"/>
        </w:rPr>
        <w:t xml:space="preserve">Profilo del caso d'uso</w:t>
      </w:r>
    </w:p>
    <w:p>
      <w:pPr>
        <w:spacing w:after="20"/>
      </w:pPr>
      <w:r>
        <w:rPr>
          <w:b/>
          <w:sz w:val="18"/>
          <w:szCs w:val="18"/>
        </w:rPr>
        <w:t xml:space="preserve">Finalità prevista: </w:t>
      </w:r>
      <w:r>
        <w:rPr>
          <w:sz w:val="18"/>
          <w:szCs w:val="18"/>
        </w:rPr>
        <w:t xml:space="preserve">Analisi di mercato generale senza riferimento a persone; l'uso vicino alla decisione è un caso d'uso separato e classificato a un livello superiore.</w:t>
      </w:r>
    </w:p>
    <w:p>
      <w:pPr>
        <w:spacing w:after="20"/>
      </w:pPr>
      <w:r>
        <w:rPr>
          <w:b/>
          <w:sz w:val="18"/>
          <w:szCs w:val="18"/>
        </w:rPr>
        <w:t xml:space="preserve">Gruppi di persone interessate: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Fonti di dati: </w:t>
      </w:r>
      <w:r>
        <w:rPr>
          <w:sz w:val="18"/>
          <w:szCs w:val="18"/>
        </w:rPr>
        <w:t xml:space="preserve">marktdaten_aggregiert, objektdaten</w:t>
      </w:r>
    </w:p>
    <w:p>
      <w:pPr>
        <w:spacing w:after="20"/>
      </w:pPr>
      <w:r>
        <w:rPr>
          <w:b/>
          <w:sz w:val="18"/>
          <w:szCs w:val="18"/>
        </w:rPr>
        <w:t xml:space="preserve">Funzione di IA: </w:t>
      </w:r>
      <w:r>
        <w:rPr>
          <w:sz w:val="18"/>
          <w:szCs w:val="18"/>
        </w:rPr>
        <w:t xml:space="preserve">analysis, generation</w:t>
      </w:r>
    </w:p>
    <w:p>
      <w:pPr>
        <w:spacing w:after="20"/>
      </w:pPr>
      <w:r>
        <w:rPr>
          <w:b/>
          <w:sz w:val="18"/>
          <w:szCs w:val="18"/>
        </w:rPr>
        <w:t xml:space="preserve">Impatti possibili: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Ambito giuridico: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 sorgente: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Stato del ciclo di vita: </w:t>
      </w:r>
      <w:r>
        <w:rPr>
          <w:sz w:val="18"/>
          <w:szCs w:val="18"/>
        </w:rPr>
        <w:t xml:space="preserve">Attivo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Valutazione del rischio (preliminare)</w:t>
      </w:r>
    </w:p>
    <w:p>
      <w:pPr>
        <w:spacing w:after="20"/>
      </w:pPr>
      <w:r>
        <w:rPr>
          <w:b/>
          <w:sz w:val="18"/>
          <w:szCs w:val="18"/>
        </w:rPr>
        <w:t xml:space="preserve">Classe di rischio preliminare: </w:t>
      </w:r>
      <w:r>
        <w:rPr>
          <w:sz w:val="18"/>
          <w:szCs w:val="18"/>
        </w:rPr>
        <w:t xml:space="preserve">Rischio limitato — verificare gli obblighi di trasparenza</w:t>
      </w:r>
    </w:p>
    <w:p>
      <w:pPr>
        <w:spacing w:after="20"/>
      </w:pPr>
      <w:r>
        <w:rPr>
          <w:b/>
          <w:sz w:val="18"/>
          <w:szCs w:val="18"/>
        </w:rPr>
        <w:t xml:space="preserve">Livello di confidenza della valutazione: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Set di regole: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Verifica umana necessaria: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classificazione del rischio è preliminare e non sostituisce una valutazione giuridica.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Motivazione (riferimento alla regola)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Funzione di IA generativa o di raccomandazione — vanno verificati gli obblighi di trasparenza ed etichettatura.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Misure di mitigazione del rischio raccomandate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Contrassegnare come tali i contenuti generati dall'IA; escalation a un essere umano possibile in qualsiasi momento.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Incertezza della valutazione</w:t>
      </w:r>
    </w:p>
    <w:p>
      <w:pPr>
        <w:spacing w:after="60"/>
      </w:pPr>
      <w:r>
        <w:rPr>
          <w:sz w:val="19"/>
          <w:szCs w:val="19"/>
        </w:rPr>
        <w:t xml:space="preserve">Il set di regole v0.1 opera con euristiche di verifica interne relative a EU AI Act, GDPR, DSG svizzero e contesto britannico. La valutazione dipende dalla completezza dei dati della Registry e non sostituisce un esame giuridico.</w:t>
      </w:r>
    </w:p>
    <w:p>
      <w:pPr>
        <w:spacing w:before="160" w:after="60"/>
      </w:pPr>
      <w:r>
        <w:rPr>
          <w:b/>
          <w:sz w:val="30"/>
          <w:szCs w:val="30"/>
        </w:rPr>
        <w:t xml:space="preserve">Panoramica di policy e controlli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Lo stato del controllo documenta la verifica delle prove — non certifica alcuna conformità.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Controllo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Riferimento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Stato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Prove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Trasparenza ed etichettatura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Prova allegata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Competenza in materia di IA delle persone coinvolte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Lacune aperte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Competenza in materia di IA delle persone coinvolte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Supervisione umana</w:t>
      </w:r>
    </w:p>
    <w:p>
      <w:pPr>
        <w:spacing w:after="20"/>
      </w:pPr>
      <w:r>
        <w:rPr>
          <w:b/>
          <w:sz w:val="18"/>
          <w:szCs w:val="18"/>
        </w:rPr>
        <w:t xml:space="preserve">Persona responsabile: </w:t>
      </w:r>
      <w:r>
        <w:rPr>
          <w:sz w:val="18"/>
          <w:szCs w:val="18"/>
        </w:rPr>
        <w:t xml:space="preserve">actor_klaus</w:t>
      </w:r>
    </w:p>
    <w:p>
      <w:pPr>
        <w:spacing w:after="20"/>
      </w:pPr>
      <w:r>
        <w:rPr>
          <w:b/>
          <w:sz w:val="18"/>
          <w:szCs w:val="18"/>
        </w:rPr>
        <w:t xml:space="preserve">Persona revisora: </w:t>
      </w:r>
      <w:r>
        <w:rPr>
          <w:sz w:val="18"/>
          <w:szCs w:val="18"/>
        </w:rPr>
        <w:t xml:space="preserve">actor_klaus (reviewer)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responsabilità umana rimane obbligatoria; l'IA non prende decisioni automatiche sulle persone.</w:t>
      </w:r>
    </w:p>
    <w:p>
      <w:pPr>
        <w:spacing w:before="160" w:after="60"/>
      </w:pPr>
      <w:r>
        <w:rPr>
          <w:b/>
          <w:sz w:val="25"/>
          <w:szCs w:val="25"/>
        </w:rPr>
        <w:t xml:space="preserve">Cronologia delle revisioni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temporale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Persona revisora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Decisione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2026-08-30T09:18:13.377Z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Approvato dalla verifica umana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Sintesi delle evidenze</w:t>
      </w:r>
    </w:p>
    <w:p>
      <w:pPr>
        <w:spacing w:after="20"/>
      </w:pPr>
      <w:r>
        <w:rPr>
          <w:b/>
          <w:sz w:val="18"/>
          <w:szCs w:val="18"/>
        </w:rPr>
        <w:t xml:space="preserve">Stato della catena di evidenze: </w:t>
      </w:r>
      <w:r>
        <w:rPr>
          <w:sz w:val="18"/>
          <w:szCs w:val="18"/>
        </w:rPr>
        <w:t xml:space="preserve">non valida (sospetta manomissione)</w:t>
      </w:r>
    </w:p>
    <w:p>
      <w:pPr>
        <w:spacing w:after="20"/>
      </w:pPr>
      <w:r>
        <w:rPr>
          <w:b/>
          <w:sz w:val="18"/>
          <w:szCs w:val="18"/>
        </w:rPr>
        <w:t xml:space="preserve">Numero di eventi di evidenza: </w:t>
      </w:r>
      <w:r>
        <w:rPr>
          <w:sz w:val="18"/>
          <w:szCs w:val="18"/>
        </w:rPr>
        <w:t xml:space="preserve">46</w:t>
      </w:r>
    </w:p>
    <w:p>
      <w:pPr>
        <w:spacing w:after="20"/>
      </w:pPr>
      <w:r>
        <w:rPr>
          <w:b/>
          <w:sz w:val="18"/>
          <w:szCs w:val="18"/>
        </w:rPr>
        <w:t xml:space="preserve">Verifica superata: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Ancoraggio simulato (integrazione PageCipher in sospeso) — contrassegnato come simulazione.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temporale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Azione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646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2026-09-02T19:07:48.194Z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a61d81e32925…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656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2026-09-02T19:07:50.708Z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19e1df0ba902…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658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2026-09-02T19:07:51.195Z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04b7df2c0c30…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662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2026-09-02T19:07:55.722Z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164584da88ed…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2026-09-02T19:07:57.685Z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44fa9e987ed4…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694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2026-09-04T04:53:58.247Z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11e18608e5f7…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778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2026-09-04T06:34:47.679Z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9f7fb8dd00ee…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782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2026-09-04T06:34:57.682Z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7cf66fb74119…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794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2026-09-04T06:37:35.707Z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342f946806b4…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800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2026-09-04T06:38:19.397Z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dab66a3b0d24…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802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2026-09-04T06:38:24.400Z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53ad0979076d…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804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2026-09-04T06:38:30.668Z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f36cb9a72b2e…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2026-09-04T06:39:51.531Z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6cc0a5c95335…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2026-09-04T06:46:54.199Z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59f62356284b…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Stato dell'ancora PageCipher</w:t>
      </w:r>
    </w:p>
    <w:p>
      <w:pPr>
        <w:spacing w:after="20"/>
      </w:pPr>
      <w:r>
        <w:rPr>
          <w:b/>
          <w:sz w:val="18"/>
          <w:szCs w:val="18"/>
        </w:rPr>
        <w:t xml:space="preserve">Stato dell'integrazione PageCipher: </w:t>
      </w:r>
      <w:r>
        <w:rPr>
          <w:sz w:val="18"/>
          <w:szCs w:val="18"/>
        </w:rPr>
        <w:t xml:space="preserve">Attivo (integrazione HTTP con PageCipher)</w:t>
      </w:r>
    </w:p>
    <w:p>
      <w:pPr>
        <w:spacing w:after="20"/>
      </w:pPr>
      <w:r>
        <w:rPr>
          <w:b/>
          <w:sz w:val="18"/>
          <w:szCs w:val="18"/>
        </w:rPr>
        <w:t xml:space="preserve">Stato dell'ancora PageCipher: </w:t>
      </w:r>
      <w:r>
        <w:rPr>
          <w:sz w:val="18"/>
          <w:szCs w:val="18"/>
        </w:rPr>
        <w:t xml:space="preserve">32/46 Ancorato</w:t>
      </w:r>
    </w:p>
    <w:p>
      <w:pPr>
        <w:spacing w:after="20"/>
      </w:pPr>
      <w:r>
        <w:rPr>
          <w:b/>
          <w:sz w:val="18"/>
          <w:szCs w:val="18"/>
        </w:rPr>
        <w:t xml:space="preserve">Riferimento dell'ancora PageCipher: </w:t>
      </w:r>
      <w:r>
        <w:rPr>
          <w:sz w:val="18"/>
          <w:szCs w:val="18"/>
        </w:rPr>
        <w:t xml:space="preserve">pagecipher:768c8ab9ea6d22063e6e7a2b542da2fd</w:t>
      </w:r>
    </w:p>
    <w:p>
      <w:pPr>
        <w:spacing w:after="20"/>
      </w:pPr>
      <w:r>
        <w:rPr>
          <w:b/>
          <w:sz w:val="18"/>
          <w:szCs w:val="18"/>
        </w:rPr>
        <w:t xml:space="preserve">Ultimo tentativo di ancoraggio: </w:t>
      </w:r>
      <w:r>
        <w:rPr>
          <w:sz w:val="18"/>
          <w:szCs w:val="18"/>
        </w:rPr>
        <w:t xml:space="preserve">2026-09-04T06:46:54.202Z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L'ancora PageCipher attesta l'integrità e la provenienza delle evidenze — non certifica alcuna conformità giuridica.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Rischi e lacune aperti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controlli aperti senza prova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Avvertenze legali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Il presente report non certifica alcuna conformità giuridica.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classificazione del rischio è preliminare e non sostituisce una valutazione giuridica.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valutazione giuridica può richiedere un esame legale specializzato.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Il presente report serve alla preparazione alla governance e alla compliance su base probatoria. Non costituisce consulenza legale, certificazione né attestazione di conformità.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responsabilità umana rimane obbligatoria; l'IA non prende decisioni automatiche sulle persone.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Appendice</w:t>
      </w:r>
    </w:p>
    <w:p>
      <w:pPr>
        <w:spacing w:before="160" w:after="60"/>
      </w:pPr>
      <w:r>
        <w:rPr>
          <w:b/>
          <w:sz w:val="25"/>
          <w:szCs w:val="25"/>
        </w:rPr>
        <w:t xml:space="preserve">Catalogo dei controlli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Controllo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Fonte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Riferimento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 delle pratiche vietate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di gestione del rischio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 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Documentazione tecnica (simile all'Allegato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Registrazione dei log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Trasparenza ed etichettatura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Supervisione 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Accuratezza, robustezza, cybersicurezza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Liceità del trattamento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Minimizzazione dei dati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Valutazione d'impatto sulla protezione dei dati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Diritti degli interessati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Monitoraggio dei bias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Competenza in materia di IA delle persone coinvolte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Controllo degli accessi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Catena di audit/evidenze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Metadati di generazione</w:t>
      </w:r>
    </w:p>
    <w:p>
      <w:pPr>
        <w:spacing w:after="20"/>
      </w:pPr>
      <w:r>
        <w:rPr>
          <w:b/>
          <w:sz w:val="18"/>
          <w:szCs w:val="18"/>
        </w:rPr>
        <w:t xml:space="preserve">Creato il: </w:t>
      </w:r>
      <w:r>
        <w:rPr>
          <w:sz w:val="18"/>
          <w:szCs w:val="18"/>
        </w:rPr>
        <w:t xml:space="preserve">2026-09-04T07:24:30.941Z</w:t>
      </w:r>
    </w:p>
    <w:p>
      <w:pPr>
        <w:spacing w:after="20"/>
      </w:pPr>
      <w:r>
        <w:rPr>
          <w:b/>
          <w:sz w:val="18"/>
          <w:szCs w:val="18"/>
        </w:rPr>
        <w:t xml:space="preserve">Versione: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Copertura linguistica: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Numero di eventi di evidenza: </w:t>
      </w:r>
      <w:r>
        <w:rPr>
          <w:sz w:val="18"/>
          <w:szCs w:val="18"/>
        </w:rPr>
        <w:t xml:space="preserve">887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