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Informe de gobernanza — Decision-Support para siniestros/contabilidad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preparación para la gobernanza, apoyo al aseguramiento y evidencia lista para auditoría. Ninguna certificación de conformidad jurídica.</w:t>
      </w:r>
    </w:p>
    <w:p>
      <w:pPr>
        <w:spacing w:after="20"/>
      </w:pPr>
      <w:r>
        <w:rPr>
          <w:b/>
          <w:sz w:val="18"/>
          <w:szCs w:val="18"/>
        </w:rPr>
        <w:t xml:space="preserve">Producto: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uc_cx_c03 (v1)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ES</w:t>
      </w:r>
    </w:p>
    <w:p>
      <w:pPr>
        <w:spacing w:after="20"/>
      </w:pPr>
      <w:r>
        <w:rPr>
          <w:b/>
          <w:sz w:val="18"/>
          <w:szCs w:val="18"/>
        </w:rPr>
        <w:t xml:space="preserve">Modo de datos: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2026-09-04T06:46:49.182Z</w:t>
      </w:r>
    </w:p>
    <w:p>
      <w:pPr>
        <w:spacing w:after="20"/>
      </w:pPr>
      <w:r>
        <w:rPr>
          <w:b/>
          <w:sz w:val="18"/>
          <w:szCs w:val="18"/>
        </w:rPr>
        <w:t xml:space="preserve">Estado del informe: </w:t>
      </w:r>
      <w:r>
        <w:rPr>
          <w:sz w:val="18"/>
          <w:szCs w:val="18"/>
        </w:rPr>
        <w:t xml:space="preserve">Clasificado provisionalmente</w:t>
      </w:r>
    </w:p>
    <w:p>
      <w:pPr>
        <w:spacing w:after="20"/>
      </w:pPr>
      <w:r>
        <w:rPr>
          <w:b/>
          <w:sz w:val="18"/>
          <w:szCs w:val="18"/>
        </w:rPr>
        <w:t xml:space="preserve">Hash de integridad: </w:t>
      </w:r>
      <w:r>
        <w:rPr>
          <w:sz w:val="18"/>
          <w:szCs w:val="18"/>
        </w:rPr>
        <w:t xml:space="preserve">50ff3aafa6b4e96d…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se basa exclusivamente en datos sintéticos (funcionamiento piloto). Ningún dato personal real.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para responsables de decisión</w:t>
      </w:r>
    </w:p>
    <w:p>
      <w:pPr>
        <w:spacing w:after="60"/>
      </w:pPr>
      <w:r>
        <w:rPr>
          <w:sz w:val="19"/>
          <w:szCs w:val="19"/>
        </w:rPr>
        <w:t xml:space="preserve">Indicios de plausibilidad, propuestas de categorización y anomalías en siniestros y asientos contables.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Apoyo a la tramitación — cada asiento/decisión efectivo es aprobado por una persona.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elevado — se requiere revisión humana</w:t>
      </w:r>
    </w:p>
    <w:p>
      <w:pPr>
        <w:spacing w:after="20"/>
      </w:pPr>
      <w:r>
        <w:rPr>
          <w:b/>
          <w:sz w:val="18"/>
          <w:szCs w:val="18"/>
        </w:rPr>
        <w:t xml:space="preserve">Supervisión humana requerida: </w:t>
      </w:r>
      <w:r>
        <w:rPr>
          <w:sz w:val="18"/>
          <w:szCs w:val="18"/>
        </w:rPr>
        <w:t xml:space="preserve">Sí</w:t>
      </w:r>
    </w:p>
    <w:p>
      <w:pPr>
        <w:spacing w:after="20"/>
      </w:pPr>
      <w:r>
        <w:rPr>
          <w:b/>
          <w:sz w:val="18"/>
          <w:szCs w:val="18"/>
        </w:rPr>
        <w:t xml:space="preserve">Preparación para la gobernanza: </w:t>
      </w:r>
      <w:r>
        <w:rPr>
          <w:sz w:val="18"/>
          <w:szCs w:val="18"/>
        </w:rPr>
        <w:t xml:space="preserve">0/8 Controles con evidencia/comprobados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preparación para la gobernanza designa el grado de preparación (evidencias disponibles/comprobadas) — no certifica la conformidad.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del caso de uso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Apoyo a la tramitación — cada asiento/decisión efectivo es aprobado por una persona.</w:t>
      </w:r>
    </w:p>
    <w:p>
      <w:pPr>
        <w:spacing w:after="20"/>
      </w:pPr>
      <w:r>
        <w:rPr>
          <w:b/>
          <w:sz w:val="18"/>
          <w:szCs w:val="18"/>
        </w:rPr>
        <w:t xml:space="preserve">Grupos de personas afectadas: </w:t>
      </w:r>
      <w:r>
        <w:rPr>
          <w:sz w:val="18"/>
          <w:szCs w:val="18"/>
        </w:rPr>
        <w:t xml:space="preserve">natuerliche_personen_mieter, dienstleister</w:t>
      </w:r>
    </w:p>
    <w:p>
      <w:pPr>
        <w:spacing w:after="20"/>
      </w:pPr>
      <w:r>
        <w:rPr>
          <w:b/>
          <w:sz w:val="18"/>
          <w:szCs w:val="18"/>
        </w:rPr>
        <w:t xml:space="preserve">Fuentes de datos: </w:t>
      </w:r>
      <w:r>
        <w:rPr>
          <w:sz w:val="18"/>
          <w:szCs w:val="18"/>
        </w:rPr>
        <w:t xml:space="preserve">personenbezogen_schadensmeldungen, buchungsdaten</w:t>
      </w:r>
    </w:p>
    <w:p>
      <w:pPr>
        <w:spacing w:after="20"/>
      </w:pPr>
      <w:r>
        <w:rPr>
          <w:b/>
          <w:sz w:val="18"/>
          <w:szCs w:val="18"/>
        </w:rPr>
        <w:t xml:space="preserve">Función de IA: </w:t>
      </w:r>
      <w:r>
        <w:rPr>
          <w:sz w:val="18"/>
          <w:szCs w:val="18"/>
        </w:rPr>
        <w:t xml:space="preserve">classification,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Impacto potencial: </w:t>
      </w:r>
      <w:r>
        <w:rPr>
          <w:sz w:val="18"/>
          <w:szCs w:val="18"/>
        </w:rPr>
        <w:t xml:space="preserve">oekonomisch_personenbezogen</w:t>
      </w:r>
    </w:p>
    <w:p>
      <w:pPr>
        <w:spacing w:after="20"/>
      </w:pPr>
      <w:r>
        <w:rPr>
          <w:b/>
          <w:sz w:val="18"/>
          <w:szCs w:val="18"/>
        </w:rPr>
        <w:t xml:space="preserve">Ámbito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Estado del ciclo de vida: </w:t>
      </w:r>
      <w:r>
        <w:rPr>
          <w:sz w:val="18"/>
          <w:szCs w:val="18"/>
        </w:rPr>
        <w:t xml:space="preserve">Clasificado provisionalmente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Evaluación de riesgo (preliminar)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elevado — se requiere revisión humana</w:t>
      </w:r>
    </w:p>
    <w:p>
      <w:pPr>
        <w:spacing w:after="20"/>
      </w:pPr>
      <w:r>
        <w:rPr>
          <w:b/>
          <w:sz w:val="18"/>
          <w:szCs w:val="18"/>
        </w:rPr>
        <w:t xml:space="preserve">Confianza de la valoración: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reglas: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Se requiere revisión humana: </w:t>
      </w:r>
      <w:r>
        <w:rPr>
          <w:sz w:val="18"/>
          <w:szCs w:val="18"/>
        </w:rPr>
        <w:t xml:space="preserve">Sí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clasificación de riesgo es preliminar y no sustituye una evaluación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Fundamentación (referencia a la regla)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R-ELEV-ECON-01 — Efecto económico sobre personas físicas — el apoyo a la decisión requiere la aprobación humana de los pasos efectivos.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Tratamiento de fuentes de datos personales — deben aplicarse los principios del RGPD (limitación de la finalidad, minimización de datos, derechos de los interesados).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Función de IA generativa o de recomendación — deben comprobarse las obligaciones de transparencia y etiquetado.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mitigación de riesgos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Cada acción efectiva (asiento contable, decisión, comunicación) es aprobada por una persona.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Minimización de datos: tratar únicamente las categorías necesarias para la gobernanza, sin copias de datos en bruto.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 de acceso basado en roles y eventos de auditoría para cada acceso a objetos sensibles.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Etiquetar como tales los contenidos generados por IA; posibilidad de escalar a una persona en todo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Incertidumbre de la valoración</w:t>
      </w:r>
    </w:p>
    <w:p>
      <w:pPr>
        <w:spacing w:after="60"/>
      </w:pPr>
      <w:r>
        <w:rPr>
          <w:sz w:val="19"/>
          <w:szCs w:val="19"/>
        </w:rPr>
        <w:t xml:space="preserve">El conjunto de reglas v0.1 trabaja con heurísticas de comprobación internas relativas al EU AI Act, el RGPD/GDPR, la DSG suiza y el contexto del Reino Unido. La valoración depende de la exhaustividad de los datos del registro y no sustituye una revisión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políticas y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estado del control documenta la comprobación de las evidencias — no certifica la conformidad.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Evidencias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Lagunas abiertas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Registro de eventos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Transparencia y etiquetado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Licitud del tratamiento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Minimización de datos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Derechos de los interesados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Competencia en IA de las personas implicadas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 de acceso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Cadena de auditoría/evidencias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Supervisión humana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responsable: </w:t>
      </w:r>
      <w:r>
        <w:rPr>
          <w:sz w:val="18"/>
          <w:szCs w:val="18"/>
        </w:rPr>
        <w:t xml:space="preserve">Asignación de supervisión pendiente — antes de la aprobación debe designarse a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responsabilidad humana sigue siendo obligatoria; la IA no toma decisiones automáticas sobre personas.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Historial de revisiones</w:t>
      </w:r>
    </w:p>
    <w:p>
      <w:pPr>
        <w:spacing w:after="60"/>
      </w:pPr>
      <w:r>
        <w:rPr>
          <w:sz w:val="19"/>
          <w:szCs w:val="19"/>
        </w:rPr>
        <w:t xml:space="preserve">Todavía no se han registrado decisiones de revisión.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evidencias</w:t>
      </w:r>
    </w:p>
    <w:p>
      <w:pPr>
        <w:spacing w:after="20"/>
      </w:pPr>
      <w:r>
        <w:rPr>
          <w:b/>
          <w:sz w:val="18"/>
          <w:szCs w:val="18"/>
        </w:rPr>
        <w:t xml:space="preserve">Estado de la cadena de evidencias: </w:t>
      </w:r>
      <w:r>
        <w:rPr>
          <w:sz w:val="18"/>
          <w:szCs w:val="18"/>
        </w:rPr>
        <w:t xml:space="preserve">inválida (sospecha de manipulación)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32</w:t>
      </w:r>
    </w:p>
    <w:p>
      <w:pPr>
        <w:spacing w:after="20"/>
      </w:pPr>
      <w:r>
        <w:rPr>
          <w:b/>
          <w:sz w:val="18"/>
          <w:szCs w:val="18"/>
        </w:rPr>
        <w:t xml:space="preserve">Verificación superada: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Anclaje simulado (integración con PageCipher pendiente) — identificado como simulación.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de tiempo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Acción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2026-09-02T19:00:35.272Z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43ae5083b24a…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2026-09-02T19:00:43.805Z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df21e1a129fb…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2026-09-02T19:06:53.776Z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f21f2bb2577c…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2026-09-02T19:07:41.462Z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d42e0719480e…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2026-09-02T19:07:43.201Z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c615f6f0cb2b…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2026-09-02T19:07:43.684Z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843883ea009d…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2026-09-02T19:07:45.771Z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c515441d3f6d…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2026-09-02T19:07:49.226Z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8dd38e19a044…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2026-09-02T19:07:56.239Z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16dc4592f9a8…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2026-09-02T19:07:59.214Z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905932d2cc26…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2026-09-04T06:33:51.965Z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76c8c5a7a64a…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2026-09-04T06:35:03.855Z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977b34e69250…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2026-09-04T06:38:14.399Z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af3a6c9c0375…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2026-09-04T06:46:39.412Z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9ec393aa5f69…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del ancla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integración de PageCipher: </w:t>
      </w:r>
      <w:r>
        <w:rPr>
          <w:sz w:val="18"/>
          <w:szCs w:val="18"/>
        </w:rPr>
        <w:t xml:space="preserve">Activo (conexión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del ancla PageCipher: </w:t>
      </w:r>
      <w:r>
        <w:rPr>
          <w:sz w:val="18"/>
          <w:szCs w:val="18"/>
        </w:rPr>
        <w:t xml:space="preserve">27/32 Anclado</w:t>
      </w:r>
    </w:p>
    <w:p>
      <w:pPr>
        <w:spacing w:after="20"/>
      </w:pPr>
      <w:r>
        <w:rPr>
          <w:b/>
          <w:sz w:val="18"/>
          <w:szCs w:val="18"/>
        </w:rPr>
        <w:t xml:space="preserve">Referencia del ancla PageCipher: </w:t>
      </w:r>
      <w:r>
        <w:rPr>
          <w:sz w:val="18"/>
          <w:szCs w:val="18"/>
        </w:rPr>
        <w:t xml:space="preserve">pagecipher:4d4872c2390f17ea55a1318100abf149</w:t>
      </w:r>
    </w:p>
    <w:p>
      <w:pPr>
        <w:spacing w:after="20"/>
      </w:pPr>
      <w:r>
        <w:rPr>
          <w:b/>
          <w:sz w:val="18"/>
          <w:szCs w:val="18"/>
        </w:rPr>
        <w:t xml:space="preserve">Último intento de anclaje: </w:t>
      </w:r>
      <w:r>
        <w:rPr>
          <w:sz w:val="18"/>
          <w:szCs w:val="18"/>
        </w:rPr>
        <w:t xml:space="preserve">2026-09-04T06:46:39.417Z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ancla PageCipher acredita la integridad y la procedencia de la evidencia —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Riesgos y lagunas abiertos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8 controles abiertos sin evidencia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Falta la aprobación humana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 legal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no certifica la conformidad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clasificación de riesgo es preliminar y no sustituye una evaluación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evaluación jurídica puede requerir una revisión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sirve para la preparación de la gobernanza y el cumplimiento sobre una base de evidencias. No constituye asesoramiento jurídico, certificación ni certificado de conformidad.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responsabilidad humana sigue siendo obligatoria; la IA no toma decisiones automáticas sobre personas.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Fuente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Comprobación de prácticas prohibidas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gestión de riesgos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Gobernanza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Documentación técnica (cercana al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Supervisión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Precisión, robustez, ciberseguridad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Evaluación de impacto relativa a la protección de datos (EIPD)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Monitorización de sesgos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Metadatos de generación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2026-09-04T06:46:49.182Z</w:t>
      </w:r>
    </w:p>
    <w:p>
      <w:pPr>
        <w:spacing w:after="20"/>
      </w:pPr>
      <w:r>
        <w:rPr>
          <w:b/>
          <w:sz w:val="18"/>
          <w:szCs w:val="18"/>
        </w:rPr>
        <w:t xml:space="preserve">Versión: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lingüística: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827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