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Report di governance — Decision Support per sinistri/contabilità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preparazione alla governance, supporto all'assurance ed evidenze audit-ready. Nessuna attestazione di conformità giuridica.</w:t>
      </w:r>
    </w:p>
    <w:p>
      <w:pPr>
        <w:spacing w:after="20"/>
      </w:pPr>
      <w:r>
        <w:rPr>
          <w:b/>
          <w:sz w:val="18"/>
          <w:szCs w:val="18"/>
        </w:rPr>
        <w:t xml:space="preserve">Prodotto: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uc_cx_c03 (v1)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Lingua: </w:t>
      </w:r>
      <w:r>
        <w:rPr>
          <w:sz w:val="18"/>
          <w:szCs w:val="18"/>
        </w:rPr>
        <w:t xml:space="preserve">IT</w:t>
      </w:r>
    </w:p>
    <w:p>
      <w:pPr>
        <w:spacing w:after="20"/>
      </w:pPr>
      <w:r>
        <w:rPr>
          <w:b/>
          <w:sz w:val="18"/>
          <w:szCs w:val="18"/>
        </w:rPr>
        <w:t xml:space="preserve">Modalità dati: </w:t>
      </w:r>
      <w:r>
        <w:rPr>
          <w:sz w:val="18"/>
          <w:szCs w:val="18"/>
        </w:rPr>
        <w:t xml:space="preserve">sintetico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2026-09-04T07:39:11.563Z</w:t>
      </w:r>
    </w:p>
    <w:p>
      <w:pPr>
        <w:spacing w:after="20"/>
      </w:pPr>
      <w:r>
        <w:rPr>
          <w:b/>
          <w:sz w:val="18"/>
          <w:szCs w:val="18"/>
        </w:rPr>
        <w:t xml:space="preserve">Stato del report: </w:t>
      </w:r>
      <w:r>
        <w:rPr>
          <w:sz w:val="18"/>
          <w:szCs w:val="18"/>
        </w:rPr>
        <w:t xml:space="preserve">Classificato in via preliminare</w:t>
      </w:r>
    </w:p>
    <w:p>
      <w:pPr>
        <w:spacing w:after="20"/>
      </w:pPr>
      <w:r>
        <w:rPr>
          <w:b/>
          <w:sz w:val="18"/>
          <w:szCs w:val="18"/>
        </w:rPr>
        <w:t xml:space="preserve">Hash di integrità: </w:t>
      </w:r>
      <w:r>
        <w:rPr>
          <w:sz w:val="18"/>
          <w:szCs w:val="18"/>
        </w:rPr>
        <w:t xml:space="preserve">85c2d1a3ca42cbf9…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si basa esclusivamente su dati sintetici (esercizio pilota). Nessun dato personale reale.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Sintesi per i decisori</w:t>
      </w:r>
    </w:p>
    <w:p>
      <w:pPr>
        <w:spacing w:after="60"/>
      </w:pPr>
      <w:r>
        <w:rPr>
          <w:sz w:val="19"/>
          <w:szCs w:val="19"/>
        </w:rPr>
        <w:t xml:space="preserve">Indicazioni di plausibilità, proposte di categorizzazione e anomalie in casi di sinistro e registrazioni contabili.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Supporto all'istruttoria — ogni registrazione/decisione con effetti concreti è approvata da un essere umano.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Rischio elevato — è necessaria una verifica umana</w:t>
      </w:r>
    </w:p>
    <w:p>
      <w:pPr>
        <w:spacing w:after="20"/>
      </w:pPr>
      <w:r>
        <w:rPr>
          <w:b/>
          <w:sz w:val="18"/>
          <w:szCs w:val="18"/>
        </w:rPr>
        <w:t xml:space="preserve">Supervisione umana necessaria: </w:t>
      </w:r>
      <w:r>
        <w:rPr>
          <w:sz w:val="18"/>
          <w:szCs w:val="18"/>
        </w:rPr>
        <w:t xml:space="preserve">Sì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0/8 Controlli con prova/verificati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Governance Readiness indica il grado di preparazione (prove presenti/verificate) — non certifica alcuna conformità.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Profilo del caso d'uso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Supporto all'istruttoria — ogni registrazione/decisione con effetti concreti è approvata da un essere umano.</w:t>
      </w:r>
    </w:p>
    <w:p>
      <w:pPr>
        <w:spacing w:after="20"/>
      </w:pPr>
      <w:r>
        <w:rPr>
          <w:b/>
          <w:sz w:val="18"/>
          <w:szCs w:val="18"/>
        </w:rPr>
        <w:t xml:space="preserve">Gruppi di persone interessate: </w:t>
      </w:r>
      <w:r>
        <w:rPr>
          <w:sz w:val="18"/>
          <w:szCs w:val="18"/>
        </w:rPr>
        <w:t xml:space="preserve">natuerliche_personen_mieter, dienstleister</w:t>
      </w:r>
    </w:p>
    <w:p>
      <w:pPr>
        <w:spacing w:after="20"/>
      </w:pPr>
      <w:r>
        <w:rPr>
          <w:b/>
          <w:sz w:val="18"/>
          <w:szCs w:val="18"/>
        </w:rPr>
        <w:t xml:space="preserve">Fonti di dati: </w:t>
      </w:r>
      <w:r>
        <w:rPr>
          <w:sz w:val="18"/>
          <w:szCs w:val="18"/>
        </w:rPr>
        <w:t xml:space="preserve">personenbezogen_schadensmeldungen, buchungsdaten</w:t>
      </w:r>
    </w:p>
    <w:p>
      <w:pPr>
        <w:spacing w:after="20"/>
      </w:pPr>
      <w:r>
        <w:rPr>
          <w:b/>
          <w:sz w:val="18"/>
          <w:szCs w:val="18"/>
        </w:rPr>
        <w:t xml:space="preserve">Funzione di IA: </w:t>
      </w:r>
      <w:r>
        <w:rPr>
          <w:sz w:val="18"/>
          <w:szCs w:val="18"/>
        </w:rPr>
        <w:t xml:space="preserve">classification,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Impatti possibili: </w:t>
      </w:r>
      <w:r>
        <w:rPr>
          <w:sz w:val="18"/>
          <w:szCs w:val="18"/>
        </w:rPr>
        <w:t xml:space="preserve">oekonomisch_personenbezogen</w:t>
      </w:r>
    </w:p>
    <w:p>
      <w:pPr>
        <w:spacing w:after="20"/>
      </w:pPr>
      <w:r>
        <w:rPr>
          <w:b/>
          <w:sz w:val="18"/>
          <w:szCs w:val="18"/>
        </w:rPr>
        <w:t xml:space="preserve">Ambito giuridico: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Stato del ciclo di vita: </w:t>
      </w:r>
      <w:r>
        <w:rPr>
          <w:sz w:val="18"/>
          <w:szCs w:val="18"/>
        </w:rPr>
        <w:t xml:space="preserve">Classificato in via preliminare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Valutazione del rischio (preliminare)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Rischio elevato — è necessaria una verifica umana</w:t>
      </w:r>
    </w:p>
    <w:p>
      <w:pPr>
        <w:spacing w:after="20"/>
      </w:pPr>
      <w:r>
        <w:rPr>
          <w:b/>
          <w:sz w:val="18"/>
          <w:szCs w:val="18"/>
        </w:rPr>
        <w:t xml:space="preserve">Livello di confidenza della valutazione: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Set di regole: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Verifica umana necessaria: </w:t>
      </w:r>
      <w:r>
        <w:rPr>
          <w:sz w:val="18"/>
          <w:szCs w:val="18"/>
        </w:rPr>
        <w:t xml:space="preserve">Sì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classificazione del rischio è preliminare e non sostituisce una valutazione giuridica.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Motivazione (riferimento alla regola)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R-ELEV-ECON-01 — Impatto economico su persone fisiche — il supporto decisionale richiede l'approvazione umana delle azioni con effetti concreti.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R-ELEV-PII-01 — Trattamento di fonti di dati personali — vanno applicati i principi del GDPR (limitazione della finalità, minimizzazione dei dati, diritti degli interessati).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Funzione di IA generativa o di raccomandazione — vanno verificati gli obblighi di trasparenza ed etichettatura.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Misure di mitigazione del rischio raccomandate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Ogni azione con effetti concreti (registrazione contabile, decisione, comunicazione) è approvata da un essere umano.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Minimizzazione dei dati: trattare solo le categorie necessarie alla governance, nessuna copia dei dati grezzi.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Controllo degli accessi basato sui ruoli ed eventi di audit per ogni accesso a oggetti sensibili.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Contrassegnare come tali i contenuti generati dall'IA; escalation a un essere umano possibile in qualsiasi momento.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Incertezza della valutazione</w:t>
      </w:r>
    </w:p>
    <w:p>
      <w:pPr>
        <w:spacing w:after="60"/>
      </w:pPr>
      <w:r>
        <w:rPr>
          <w:sz w:val="19"/>
          <w:szCs w:val="19"/>
        </w:rPr>
        <w:t xml:space="preserve">Il set di regole v0.1 opera con euristiche di verifica interne relative a EU AI Act, GDPR, DSG svizzero e contesto britannico. La valutazione dipende dalla completezza dei dati della Registry e non sostituisce un esame giuridico.</w:t>
      </w:r>
    </w:p>
    <w:p>
      <w:pPr>
        <w:spacing w:before="160" w:after="60"/>
      </w:pPr>
      <w:r>
        <w:rPr>
          <w:b/>
          <w:sz w:val="30"/>
          <w:szCs w:val="30"/>
        </w:rPr>
        <w:t xml:space="preserve">Panoramica di policy e controlli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Lo stato del controllo documenta la verifica delle prove — non certifica alcuna conformità.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Riferimento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Prove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Registrazione dei log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Trasparenza ed etichettatura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Liceità del trattamento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Minimizzazione dei dati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Diritti degli interessati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Competenza in materia di IA delle persone coinvolte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Controllo degli accessi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Catena di audit/evidenze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Lacune aperte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Registrazione dei log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Trasparenza ed etichettatura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Liceità del trattamento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Minimizzazione dei dati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Diritti degli interessati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Competenza in materia di IA delle persone coinvolte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Controllo degli accessi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Catena di audit/evidenze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Supervisione 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responsabile: </w:t>
      </w:r>
      <w:r>
        <w:rPr>
          <w:sz w:val="18"/>
          <w:szCs w:val="18"/>
        </w:rPr>
        <w:t xml:space="preserve">Assegnazione dell'oversight in sospeso — prima dell'approvazione va designato un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responsabilità umana rimane obbligatoria; l'IA non prende decisioni automatiche sulle persone.</w:t>
      </w:r>
    </w:p>
    <w:p>
      <w:pPr>
        <w:spacing w:before="160" w:after="60"/>
      </w:pPr>
      <w:r>
        <w:rPr>
          <w:b/>
          <w:sz w:val="25"/>
          <w:szCs w:val="25"/>
        </w:rPr>
        <w:t xml:space="preserve">Cronologia delle revisioni</w:t>
      </w:r>
    </w:p>
    <w:p>
      <w:pPr>
        <w:spacing w:after="60"/>
      </w:pPr>
      <w:r>
        <w:rPr>
          <w:sz w:val="19"/>
          <w:szCs w:val="19"/>
        </w:rPr>
        <w:t xml:space="preserve">Nessuna decisione di revisione ancora registrata.</w:t>
      </w:r>
    </w:p>
    <w:p>
      <w:pPr>
        <w:spacing w:before="160" w:after="60"/>
      </w:pPr>
      <w:r>
        <w:rPr>
          <w:b/>
          <w:sz w:val="30"/>
          <w:szCs w:val="30"/>
        </w:rPr>
        <w:t xml:space="preserve">Sintesi delle evidenze</w:t>
      </w:r>
    </w:p>
    <w:p>
      <w:pPr>
        <w:spacing w:after="20"/>
      </w:pPr>
      <w:r>
        <w:rPr>
          <w:b/>
          <w:sz w:val="18"/>
          <w:szCs w:val="18"/>
        </w:rPr>
        <w:t xml:space="preserve">Stato della catena di evidenze: </w:t>
      </w:r>
      <w:r>
        <w:rPr>
          <w:sz w:val="18"/>
          <w:szCs w:val="18"/>
        </w:rPr>
        <w:t xml:space="preserve">non valida (sospetta manomissione)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44</w:t>
      </w:r>
    </w:p>
    <w:p>
      <w:pPr>
        <w:spacing w:after="20"/>
      </w:pPr>
      <w:r>
        <w:rPr>
          <w:b/>
          <w:sz w:val="18"/>
          <w:szCs w:val="18"/>
        </w:rPr>
        <w:t xml:space="preserve">Verifica superata: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Ancoraggio simulato (integrazione PageCipher in sospeso) — contrassegnato come simulazione.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temporale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Azione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2026-09-04T06:38:14.399Z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af3a6c9c0375…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2026-09-04T06:46:39.412Z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9ec393aa5f69…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2026-09-04T06:46:49.205Z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4dc52c653786…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2026-09-04T06:47:07.175Z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c77c2a3b5143…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2026-09-04T06:47:09.412Z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cbf63343f961…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2026-09-04T06:47:15.515Z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26195e759d22…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2026-09-04T06:47:25.290Z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8e182576e9d1…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2026-09-04T06:47:41.209Z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9cc20acb2cc3…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2026-09-04T07:26:05.129Z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3a9692555d05…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954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2026-09-04T07:26:17.617Z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b5cae4622b6f…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961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2026-09-04T07:26:44.318Z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281d21d9c94c…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2026-09-04T07:26:49.825Z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c17c1ea05244…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987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2026-09-04T07:27:12.937Z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73ee183e2333…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2026-09-04T07:27:52.609Z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e6d17df607dc…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Stato dell'ancora PageCipher</w:t>
      </w:r>
    </w:p>
    <w:p>
      <w:pPr>
        <w:spacing w:after="20"/>
      </w:pPr>
      <w:r>
        <w:rPr>
          <w:b/>
          <w:sz w:val="18"/>
          <w:szCs w:val="18"/>
        </w:rPr>
        <w:t xml:space="preserve">Stato dell'integrazione PageCipher: </w:t>
      </w:r>
      <w:r>
        <w:rPr>
          <w:sz w:val="18"/>
          <w:szCs w:val="18"/>
        </w:rPr>
        <w:t xml:space="preserve">Attivo (integrazione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Stato dell'ancora PageCipher: </w:t>
      </w:r>
      <w:r>
        <w:rPr>
          <w:sz w:val="18"/>
          <w:szCs w:val="18"/>
        </w:rPr>
        <w:t xml:space="preserve">39/44 Ancorato</w:t>
      </w:r>
    </w:p>
    <w:p>
      <w:pPr>
        <w:spacing w:after="20"/>
      </w:pPr>
      <w:r>
        <w:rPr>
          <w:b/>
          <w:sz w:val="18"/>
          <w:szCs w:val="18"/>
        </w:rPr>
        <w:t xml:space="preserve">Riferimento dell'ancora PageCipher: </w:t>
      </w:r>
      <w:r>
        <w:rPr>
          <w:sz w:val="18"/>
          <w:szCs w:val="18"/>
        </w:rPr>
        <w:t xml:space="preserve">pagecipher:4d4872c2390f17ea55a1318100abf149</w:t>
      </w:r>
    </w:p>
    <w:p>
      <w:pPr>
        <w:spacing w:after="20"/>
      </w:pPr>
      <w:r>
        <w:rPr>
          <w:b/>
          <w:sz w:val="18"/>
          <w:szCs w:val="18"/>
        </w:rPr>
        <w:t xml:space="preserve">Ultimo tentativo di ancoraggio: </w:t>
      </w:r>
      <w:r>
        <w:rPr>
          <w:sz w:val="18"/>
          <w:szCs w:val="18"/>
        </w:rPr>
        <w:t xml:space="preserve">2026-09-04T07:27:52.614Z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L'ancora PageCipher attesta l'integrità e la provenienza delle evidenze —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Rischi e lacune aperti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8 controlli aperti senza prova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Approvazione umana in sospeso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Avvertenze legali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non certifica alcuna conformità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classificazione del rischio è preliminare e non sostituisce una valutazione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valutazione giuridica può richiedere un esame legale specializzato.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serve alla preparazione alla governance e alla compliance su base probatoria. Non costituisce consulenza legale, certificazione né attestazione di conformità.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responsabilità umana rimane obbligatoria; l'IA non prende decisioni automatiche sulle persone.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Appendice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Catalogo dei controlli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Riferimento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 delle pratiche vietate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di gestione del rischio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Documentazione tecnica (simile all'Allegato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Registrazione dei log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Trasparenza ed etichettatura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Supervisione 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Accuratezza, robustezza, cybersicurezza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Liceità del trattamento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Minimizzazione dei dati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Valutazione d'impatto sulla protezione dei dati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Diritti degli interessati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Monitoraggio dei bias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Competenza in materia di IA delle persone coinvolte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Controllo degli accessi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Catena di audit/evidenze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Metadati di generazione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2026-09-04T07:39:11.563Z</w:t>
      </w:r>
    </w:p>
    <w:p>
      <w:pPr>
        <w:spacing w:after="20"/>
      </w:pPr>
      <w:r>
        <w:rPr>
          <w:b/>
          <w:sz w:val="18"/>
          <w:szCs w:val="18"/>
        </w:rPr>
        <w:t xml:space="preserve">Versione: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Copertura linguistica: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1051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