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sz w:val="44"/>
          <w:szCs w:val="44"/>
        </w:rPr>
        <w:t xml:space="preserve">Governance-rapport — Claims-/Accounting-Decision-Support</w:t>
      </w:r>
    </w:p>
    <w:p>
      <w:pPr>
        <w:spacing w:after="80"/>
      </w:pPr>
      <w:r>
        <w:rPr>
          <w:sz w:val="20"/>
          <w:szCs w:val="20"/>
          <w:color w:val="6B7280"/>
        </w:rPr>
        <w:t xml:space="preserve">HumanOSE — voorbereiding van governance, assurance-ondersteuning en auditklaar bewijs. Geen bewijs van rechtsconformiteit.</w:t>
      </w:r>
    </w:p>
    <w:p>
      <w:pPr>
        <w:spacing w:after="20"/>
      </w:pPr>
      <w:r>
        <w:rPr>
          <w:b/>
          <w:sz w:val="18"/>
          <w:szCs w:val="18"/>
        </w:rPr>
        <w:t xml:space="preserve">Product: </w:t>
      </w:r>
      <w:r>
        <w:rPr>
          <w:sz w:val="18"/>
          <w:szCs w:val="18"/>
        </w:rPr>
        <w:t xml:space="preserve">HumanOSE</w:t>
      </w:r>
    </w:p>
    <w:p>
      <w:pPr>
        <w:spacing w:after="20"/>
      </w:pPr>
      <w:r>
        <w:rPr>
          <w:b/>
          <w:sz w:val="18"/>
          <w:szCs w:val="18"/>
        </w:rPr>
        <w:t xml:space="preserve">Use case: </w:t>
      </w:r>
      <w:r>
        <w:rPr>
          <w:sz w:val="18"/>
          <w:szCs w:val="18"/>
        </w:rPr>
        <w:t xml:space="preserve">uc_cx_c03 (v1)</w:t>
      </w:r>
    </w:p>
    <w:p>
      <w:pPr>
        <w:spacing w:after="20"/>
      </w:pPr>
      <w:r>
        <w:rPr>
          <w:b/>
          <w:sz w:val="18"/>
          <w:szCs w:val="18"/>
        </w:rPr>
        <w:t xml:space="preserve">Bronsysteem: </w:t>
      </w:r>
      <w:r>
        <w:rPr>
          <w:sz w:val="18"/>
          <w:szCs w:val="18"/>
        </w:rPr>
        <w:t xml:space="preserve">causax</w:t>
      </w:r>
    </w:p>
    <w:p>
      <w:pPr>
        <w:spacing w:after="20"/>
      </w:pPr>
      <w:r>
        <w:rPr>
          <w:b/>
          <w:sz w:val="18"/>
          <w:szCs w:val="18"/>
        </w:rPr>
        <w:t xml:space="preserve">Taal: </w:t>
      </w:r>
      <w:r>
        <w:rPr>
          <w:sz w:val="18"/>
          <w:szCs w:val="18"/>
        </w:rPr>
        <w:t xml:space="preserve">NL</w:t>
      </w:r>
    </w:p>
    <w:p>
      <w:pPr>
        <w:spacing w:after="20"/>
      </w:pPr>
      <w:r>
        <w:rPr>
          <w:b/>
          <w:sz w:val="18"/>
          <w:szCs w:val="18"/>
        </w:rPr>
        <w:t xml:space="preserve">Gegevensmodus: </w:t>
      </w:r>
      <w:r>
        <w:rPr>
          <w:sz w:val="18"/>
          <w:szCs w:val="18"/>
        </w:rPr>
        <w:t xml:space="preserve">synthetisch</w:t>
      </w:r>
    </w:p>
    <w:p>
      <w:pPr>
        <w:spacing w:after="20"/>
      </w:pPr>
      <w:r>
        <w:rPr>
          <w:b/>
          <w:sz w:val="18"/>
          <w:szCs w:val="18"/>
        </w:rPr>
        <w:t xml:space="preserve">Aangemaakt op: </w:t>
      </w:r>
      <w:r>
        <w:rPr>
          <w:sz w:val="18"/>
          <w:szCs w:val="18"/>
        </w:rPr>
        <w:t xml:space="preserve">2026-09-04T07:26:44.304Z</w:t>
      </w:r>
    </w:p>
    <w:p>
      <w:pPr>
        <w:spacing w:after="20"/>
      </w:pPr>
      <w:r>
        <w:rPr>
          <w:b/>
          <w:sz w:val="18"/>
          <w:szCs w:val="18"/>
        </w:rPr>
        <w:t xml:space="preserve">Rapportstatus: </w:t>
      </w:r>
      <w:r>
        <w:rPr>
          <w:sz w:val="18"/>
          <w:szCs w:val="18"/>
        </w:rPr>
        <w:t xml:space="preserve">Voorlopig geclassificeerd</w:t>
      </w:r>
    </w:p>
    <w:p>
      <w:pPr>
        <w:spacing w:after="20"/>
      </w:pPr>
      <w:r>
        <w:rPr>
          <w:b/>
          <w:sz w:val="18"/>
          <w:szCs w:val="18"/>
        </w:rPr>
        <w:t xml:space="preserve">Integriteits-hash: </w:t>
      </w:r>
      <w:r>
        <w:rPr>
          <w:sz w:val="18"/>
          <w:szCs w:val="18"/>
        </w:rPr>
        <w:t xml:space="preserve">d51a27623bddbe5c…</w:t>
      </w:r>
    </w:p>
    <w:p>
      <w:pPr>
        <w:spacing w:after="6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Dit rapport is uitsluitend gebaseerd op synthetische gegevens (pilotbedrijf). Geen echte persoonsgegevens.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Dit rapport certificeert geen rechtsconformiteit.</w:t>
      </w:r>
    </w:p>
    <w:p>
      <w:pPr>
        <w:spacing w:before="160" w:after="60"/>
      </w:pPr>
      <w:r>
        <w:rPr>
          <w:b/>
          <w:sz w:val="30"/>
          <w:szCs w:val="30"/>
        </w:rPr>
        <w:t xml:space="preserve">Samenvatting voor besluitvormers</w:t>
      </w:r>
    </w:p>
    <w:p>
      <w:pPr>
        <w:spacing w:after="60"/>
      </w:pPr>
      <w:r>
        <w:rPr>
          <w:sz w:val="19"/>
          <w:szCs w:val="19"/>
        </w:rPr>
        <w:t xml:space="preserve">Plausibiliteitssignalen, categorisatievoorstellen en bijzonderheden bij schadegevallen en boekingen.</w:t>
      </w:r>
    </w:p>
    <w:p>
      <w:pPr>
        <w:spacing w:after="20"/>
      </w:pPr>
      <w:r>
        <w:rPr>
          <w:b/>
          <w:sz w:val="18"/>
          <w:szCs w:val="18"/>
        </w:rPr>
        <w:t xml:space="preserve">Beoogd doel: </w:t>
      </w:r>
      <w:r>
        <w:rPr>
          <w:sz w:val="18"/>
          <w:szCs w:val="18"/>
        </w:rPr>
        <w:t xml:space="preserve">Ondersteuning van de zaakbehandeling — elke effectieve boeking/beslissing wordt menselijk goedgekeurd.</w:t>
      </w:r>
    </w:p>
    <w:p>
      <w:pPr>
        <w:spacing w:after="20"/>
      </w:pPr>
      <w:r>
        <w:rPr>
          <w:b/>
          <w:sz w:val="18"/>
          <w:szCs w:val="18"/>
        </w:rPr>
        <w:t xml:space="preserve">Voorlopige risicoklasse: </w:t>
      </w:r>
      <w:r>
        <w:rPr>
          <w:sz w:val="18"/>
          <w:szCs w:val="18"/>
        </w:rPr>
        <w:t xml:space="preserve">Verhoogd risico — menselijke toetsing vereist</w:t>
      </w:r>
    </w:p>
    <w:p>
      <w:pPr>
        <w:spacing w:after="20"/>
      </w:pPr>
      <w:r>
        <w:rPr>
          <w:b/>
          <w:sz w:val="18"/>
          <w:szCs w:val="18"/>
        </w:rPr>
        <w:t xml:space="preserve">Menselijk toezicht vereist: </w:t>
      </w:r>
      <w:r>
        <w:rPr>
          <w:sz w:val="18"/>
          <w:szCs w:val="18"/>
        </w:rPr>
        <w:t xml:space="preserve">Ja</w:t>
      </w:r>
    </w:p>
    <w:p>
      <w:pPr>
        <w:spacing w:after="20"/>
      </w:pPr>
      <w:r>
        <w:rPr>
          <w:b/>
          <w:sz w:val="18"/>
          <w:szCs w:val="18"/>
        </w:rPr>
        <w:t xml:space="preserve">Governance Readiness: </w:t>
      </w:r>
      <w:r>
        <w:rPr>
          <w:sz w:val="18"/>
          <w:szCs w:val="18"/>
        </w:rPr>
        <w:t xml:space="preserve">0/8 Controles met bewijs/getoetst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Governance Readiness duidt de mate van voorbereiding aan (bewijzen aanwezig/getoetst) — het certificeert geen conformiteit.</w:t>
      </w:r>
    </w:p>
    <w:p>
      <w:pPr>
        <w:spacing w:before="160" w:after="60"/>
      </w:pPr>
      <w:r>
        <w:rPr>
          <w:b/>
          <w:sz w:val="30"/>
          <w:szCs w:val="30"/>
        </w:rPr>
        <w:t xml:space="preserve">Use-case-profiel</w:t>
      </w:r>
    </w:p>
    <w:p>
      <w:pPr>
        <w:spacing w:after="20"/>
      </w:pPr>
      <w:r>
        <w:rPr>
          <w:b/>
          <w:sz w:val="18"/>
          <w:szCs w:val="18"/>
        </w:rPr>
        <w:t xml:space="preserve">Beoogd doel: </w:t>
      </w:r>
      <w:r>
        <w:rPr>
          <w:sz w:val="18"/>
          <w:szCs w:val="18"/>
        </w:rPr>
        <w:t xml:space="preserve">Ondersteuning van de zaakbehandeling — elke effectieve boeking/beslissing wordt menselijk goedgekeurd.</w:t>
      </w:r>
    </w:p>
    <w:p>
      <w:pPr>
        <w:spacing w:after="20"/>
      </w:pPr>
      <w:r>
        <w:rPr>
          <w:b/>
          <w:sz w:val="18"/>
          <w:szCs w:val="18"/>
        </w:rPr>
        <w:t xml:space="preserve">Betrokken persoonsgroepen: </w:t>
      </w:r>
      <w:r>
        <w:rPr>
          <w:sz w:val="18"/>
          <w:szCs w:val="18"/>
        </w:rPr>
        <w:t xml:space="preserve">natuerliche_personen_mieter, dienstleister</w:t>
      </w:r>
    </w:p>
    <w:p>
      <w:pPr>
        <w:spacing w:after="20"/>
      </w:pPr>
      <w:r>
        <w:rPr>
          <w:b/>
          <w:sz w:val="18"/>
          <w:szCs w:val="18"/>
        </w:rPr>
        <w:t xml:space="preserve">Gegevensbronnen: </w:t>
      </w:r>
      <w:r>
        <w:rPr>
          <w:sz w:val="18"/>
          <w:szCs w:val="18"/>
        </w:rPr>
        <w:t xml:space="preserve">personenbezogen_schadensmeldungen, buchungsdaten</w:t>
      </w:r>
    </w:p>
    <w:p>
      <w:pPr>
        <w:spacing w:after="20"/>
      </w:pPr>
      <w:r>
        <w:rPr>
          <w:b/>
          <w:sz w:val="18"/>
          <w:szCs w:val="18"/>
        </w:rPr>
        <w:t xml:space="preserve">AI-functie: </w:t>
      </w:r>
      <w:r>
        <w:rPr>
          <w:sz w:val="18"/>
          <w:szCs w:val="18"/>
        </w:rPr>
        <w:t xml:space="preserve">classification, recommendation</w:t>
      </w:r>
    </w:p>
    <w:p>
      <w:pPr>
        <w:spacing w:after="20"/>
      </w:pPr>
      <w:r>
        <w:rPr>
          <w:b/>
          <w:sz w:val="18"/>
          <w:szCs w:val="18"/>
        </w:rPr>
        <w:t xml:space="preserve">Mogelijke impact: </w:t>
      </w:r>
      <w:r>
        <w:rPr>
          <w:sz w:val="18"/>
          <w:szCs w:val="18"/>
        </w:rPr>
        <w:t xml:space="preserve">oekonomisch_personenbezogen</w:t>
      </w:r>
    </w:p>
    <w:p>
      <w:pPr>
        <w:spacing w:after="20"/>
      </w:pPr>
      <w:r>
        <w:rPr>
          <w:b/>
          <w:sz w:val="18"/>
          <w:szCs w:val="18"/>
        </w:rPr>
        <w:t xml:space="preserve">Rechtsgebied: </w:t>
      </w:r>
      <w:r>
        <w:rPr>
          <w:sz w:val="18"/>
          <w:szCs w:val="18"/>
        </w:rPr>
        <w:t xml:space="preserve">eu-de</w:t>
      </w:r>
    </w:p>
    <w:p>
      <w:pPr>
        <w:spacing w:after="20"/>
      </w:pPr>
      <w:r>
        <w:rPr>
          <w:b/>
          <w:sz w:val="18"/>
          <w:szCs w:val="18"/>
        </w:rPr>
        <w:t xml:space="preserve">Bronsysteem: </w:t>
      </w:r>
      <w:r>
        <w:rPr>
          <w:sz w:val="18"/>
          <w:szCs w:val="18"/>
        </w:rPr>
        <w:t xml:space="preserve">causax</w:t>
      </w:r>
    </w:p>
    <w:p>
      <w:pPr>
        <w:spacing w:after="20"/>
      </w:pPr>
      <w:r>
        <w:rPr>
          <w:b/>
          <w:sz w:val="18"/>
          <w:szCs w:val="18"/>
        </w:rPr>
        <w:t xml:space="preserve">Levenscyclusstatus: </w:t>
      </w:r>
      <w:r>
        <w:rPr>
          <w:sz w:val="18"/>
          <w:szCs w:val="18"/>
        </w:rPr>
        <w:t xml:space="preserve">Voorlopig geclassificeerd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Risicobeoordeling (voorlopig)</w:t>
      </w:r>
    </w:p>
    <w:p>
      <w:pPr>
        <w:spacing w:after="20"/>
      </w:pPr>
      <w:r>
        <w:rPr>
          <w:b/>
          <w:sz w:val="18"/>
          <w:szCs w:val="18"/>
        </w:rPr>
        <w:t xml:space="preserve">Voorlopige risicoklasse: </w:t>
      </w:r>
      <w:r>
        <w:rPr>
          <w:sz w:val="18"/>
          <w:szCs w:val="18"/>
        </w:rPr>
        <w:t xml:space="preserve">Verhoogd risico — menselijke toetsing vereist</w:t>
      </w:r>
    </w:p>
    <w:p>
      <w:pPr>
        <w:spacing w:after="20"/>
      </w:pPr>
      <w:r>
        <w:rPr>
          <w:b/>
          <w:sz w:val="18"/>
          <w:szCs w:val="18"/>
        </w:rPr>
        <w:t xml:space="preserve">Betrouwbaarheid van de inschatting: </w:t>
      </w:r>
      <w:r>
        <w:rPr>
          <w:sz w:val="18"/>
          <w:szCs w:val="18"/>
        </w:rPr>
        <w:t xml:space="preserve">high</w:t>
      </w:r>
    </w:p>
    <w:p>
      <w:pPr>
        <w:spacing w:after="20"/>
      </w:pPr>
      <w:r>
        <w:rPr>
          <w:b/>
          <w:sz w:val="18"/>
          <w:szCs w:val="18"/>
        </w:rPr>
        <w:t xml:space="preserve">Regelset: </w:t>
      </w:r>
      <w:r>
        <w:rPr>
          <w:sz w:val="18"/>
          <w:szCs w:val="18"/>
        </w:rPr>
        <w:t xml:space="preserve">v0.1.0</w:t>
      </w:r>
    </w:p>
    <w:p>
      <w:pPr>
        <w:spacing w:after="20"/>
      </w:pPr>
      <w:r>
        <w:rPr>
          <w:b/>
          <w:sz w:val="18"/>
          <w:szCs w:val="18"/>
        </w:rPr>
        <w:t xml:space="preserve">Menselijke toetsing vereist: </w:t>
      </w:r>
      <w:r>
        <w:rPr>
          <w:sz w:val="18"/>
          <w:szCs w:val="18"/>
        </w:rPr>
        <w:t xml:space="preserve">Ja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De risicoclassificatie is voorlopig en vervangt geen juridische beoordeling.</w:t>
      </w:r>
    </w:p>
    <w:p>
      <w:pPr>
        <w:spacing w:before="160" w:after="60"/>
      </w:pPr>
      <w:r>
        <w:rPr>
          <w:b/>
          <w:sz w:val="25"/>
          <w:szCs w:val="25"/>
        </w:rPr>
        <w:t xml:space="preserve">Onderbouwing (regelverwijzing)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R-ELEV-ECON-01 — Economische impact op natuurlijke personen — beslissingsondersteuning vereist menselijke goedkeuring van effectieve stappen.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R-ELEV-PII-01 — Verwerking van bronnen met persoonsgegevens — AVG-beginselen (doelbinding, dataminimalisatie, rechten van betrokkenen) zijn van toepassing.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R-LIM-TRANSPARENCY-01 — Genererende of aanbevelende AI-functie — transparantie- en labelverplichtingen moeten worden getoetst.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Aanbevolen risicobeperkingen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Elke effectieve actie (boeking, beslissing, mededeling) wordt goedgekeurd door een mens.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Dataminimalisatie: alleen voor governance noodzakelijke categorieën verwerken, geen kopieën van ruwe gegevens.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Rolgebaseerde toegangscontrole en audit-events voor elke toegang tot gevoelige objecten.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AI-gegenereerde inhoud als zodanig markeren; escalatie naar een mens is altijd mogelijk.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Onzekerheid van de inschatting</w:t>
      </w:r>
    </w:p>
    <w:p>
      <w:pPr>
        <w:spacing w:after="60"/>
      </w:pPr>
      <w:r>
        <w:rPr>
          <w:sz w:val="19"/>
          <w:szCs w:val="19"/>
        </w:rPr>
        <w:t xml:space="preserve">Regelset v0.1 werkt met interne toetsingsheuristieken voor EU AI Act, AVG/GDPR, het Zwitserse DSG en de UK-context. De inschatting hangt af van de volledigheid van de registrygegevens en vervangt geen juridische toetsing.</w:t>
      </w:r>
    </w:p>
    <w:p>
      <w:pPr>
        <w:spacing w:before="160" w:after="60"/>
      </w:pPr>
      <w:r>
        <w:rPr>
          <w:b/>
          <w:sz w:val="30"/>
          <w:szCs w:val="30"/>
        </w:rPr>
        <w:t xml:space="preserve">Overzicht van policy's en controles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De controlestatus documenteert de toetsing van de bewijzen — hij certificeert geen conformiteit.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2265"/>
        <w:gridCol w:w="2265"/>
        <w:gridCol w:w="2265"/>
        <w:gridCol w:w="2265"/>
      </w:tblGrid>
      <w:tr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Controle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Vindplaats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Status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Bewijzen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Logging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Openstaand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Transparantie &amp; markering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Openstaand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Rechtmatigheid van de verwerking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Openstaand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Dataminimalisatie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Openstaand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Rechten van betrokkenen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Openstaand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AI-competentie van de betrokkenen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Openstaand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Toegangscontrole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Openstaand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Audit-/bewijsketen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Openstaand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Openstaande hiaten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Logging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Transparantie &amp; markering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Rechtmatigheid van de verwerking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Dataminimalisatie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Rechten van betrokkenen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AI-competentie van de betrokkenen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Toegangscontrole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Audit-/bewijsketen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Menselijk toezicht</w:t>
      </w:r>
    </w:p>
    <w:p>
      <w:pPr>
        <w:spacing w:after="20"/>
      </w:pPr>
      <w:r>
        <w:rPr>
          <w:b/>
          <w:sz w:val="18"/>
          <w:szCs w:val="18"/>
        </w:rPr>
        <w:t xml:space="preserve">Verantwoordelijke mens: </w:t>
      </w:r>
      <w:r>
        <w:rPr>
          <w:sz w:val="18"/>
          <w:szCs w:val="18"/>
        </w:rPr>
        <w:t xml:space="preserve">Toewijzing van oversight in afwachting — vóór goedkeuring moet een final responsible human worden aangewezen.</w:t>
      </w:r>
    </w:p>
    <w:p>
      <w:pPr>
        <w:spacing w:after="20"/>
      </w:pPr>
      <w:r>
        <w:rPr>
          <w:b/>
          <w:sz w:val="18"/>
          <w:szCs w:val="18"/>
        </w:rPr>
        <w:t xml:space="preserve">Beoordelaar: </w:t>
      </w:r>
      <w:r>
        <w:rPr>
          <w:sz w:val="18"/>
          <w:szCs w:val="18"/>
        </w:rPr>
        <w:t xml:space="preserve">—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De menselijke verantwoordelijkheid blijft verplicht; AI neemt geen automatische beslissingen over personen.</w:t>
      </w:r>
    </w:p>
    <w:p>
      <w:pPr>
        <w:spacing w:before="160" w:after="60"/>
      </w:pPr>
      <w:r>
        <w:rPr>
          <w:b/>
          <w:sz w:val="25"/>
          <w:szCs w:val="25"/>
        </w:rPr>
        <w:t xml:space="preserve">Reviewgeschiedenis</w:t>
      </w:r>
    </w:p>
    <w:p>
      <w:pPr>
        <w:spacing w:after="60"/>
      </w:pPr>
      <w:r>
        <w:rPr>
          <w:sz w:val="19"/>
          <w:szCs w:val="19"/>
        </w:rPr>
        <w:t xml:space="preserve">Nog geen reviewbeslissingen vastgelegd.</w:t>
      </w:r>
    </w:p>
    <w:p>
      <w:pPr>
        <w:spacing w:before="160" w:after="60"/>
      </w:pPr>
      <w:r>
        <w:rPr>
          <w:b/>
          <w:sz w:val="30"/>
          <w:szCs w:val="30"/>
        </w:rPr>
        <w:t xml:space="preserve">Bewijssamenvatting</w:t>
      </w:r>
    </w:p>
    <w:p>
      <w:pPr>
        <w:spacing w:after="20"/>
      </w:pPr>
      <w:r>
        <w:rPr>
          <w:b/>
          <w:sz w:val="18"/>
          <w:szCs w:val="18"/>
        </w:rPr>
        <w:t xml:space="preserve">Status van de bewijsketen: </w:t>
      </w:r>
      <w:r>
        <w:rPr>
          <w:sz w:val="18"/>
          <w:szCs w:val="18"/>
        </w:rPr>
        <w:t xml:space="preserve">ongeldig (vermoeden van manipulatie)</w:t>
      </w:r>
    </w:p>
    <w:p>
      <w:pPr>
        <w:spacing w:after="20"/>
      </w:pPr>
      <w:r>
        <w:rPr>
          <w:b/>
          <w:sz w:val="18"/>
          <w:szCs w:val="18"/>
        </w:rPr>
        <w:t xml:space="preserve">Aantal evidence-gebeurtenissen: </w:t>
      </w:r>
      <w:r>
        <w:rPr>
          <w:sz w:val="18"/>
          <w:szCs w:val="18"/>
        </w:rPr>
        <w:t xml:space="preserve">40</w:t>
      </w:r>
    </w:p>
    <w:p>
      <w:pPr>
        <w:spacing w:after="20"/>
      </w:pPr>
      <w:r>
        <w:rPr>
          <w:b/>
          <w:sz w:val="18"/>
          <w:szCs w:val="18"/>
        </w:rPr>
        <w:t xml:space="preserve">Verificatie geslaagd: </w:t>
      </w:r>
      <w:r>
        <w:rPr>
          <w:sz w:val="18"/>
          <w:szCs w:val="18"/>
        </w:rPr>
        <w:t xml:space="preserve">Nee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Gesimuleerde verankering (PageCipher-integratie in afwachting) — gemarkeerd als simulatie.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1812"/>
        <w:gridCol w:w="1812"/>
        <w:gridCol w:w="1812"/>
        <w:gridCol w:w="1812"/>
        <w:gridCol w:w="1812"/>
      </w:tblGrid>
      <w:tr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#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Tijdstempel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Actor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Actie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Hash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664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2026-09-02T19:07:56.239Z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16dc4592f9a8…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676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2026-09-02T19:07:59.214Z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905932d2cc26…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772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2026-09-04T06:33:51.965Z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76c8c5a7a64a…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784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2026-09-04T06:35:03.855Z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977b34e69250…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798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2026-09-04T06:38:14.399Z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af3a6c9c0375…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826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2026-09-04T06:46:39.412Z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9ec393aa5f69…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828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2026-09-04T06:46:49.205Z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4dc52c653786…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834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2026-09-04T06:47:07.175Z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c77c2a3b5143…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836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2026-09-04T06:47:09.412Z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cbf63343f961…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838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2026-09-04T06:47:15.515Z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26195e759d22…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842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2026-09-04T06:47:25.290Z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8e182576e9d1…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848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2026-09-04T06:47:41.209Z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9cc20acb2cc3…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940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2026-09-04T07:26:05.129Z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3a9692555d05…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954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2026-09-04T07:26:17.617Z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b5cae4622b6f…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PageCipher-ankerstatus</w:t>
      </w:r>
    </w:p>
    <w:p>
      <w:pPr>
        <w:spacing w:after="20"/>
      </w:pPr>
      <w:r>
        <w:rPr>
          <w:b/>
          <w:sz w:val="18"/>
          <w:szCs w:val="18"/>
        </w:rPr>
        <w:t xml:space="preserve">PageCipher-integratiestatus: </w:t>
      </w:r>
      <w:r>
        <w:rPr>
          <w:sz w:val="18"/>
          <w:szCs w:val="18"/>
        </w:rPr>
        <w:t xml:space="preserve">Actief (HTTP-koppeling met PageCipher)</w:t>
      </w:r>
    </w:p>
    <w:p>
      <w:pPr>
        <w:spacing w:after="20"/>
      </w:pPr>
      <w:r>
        <w:rPr>
          <w:b/>
          <w:sz w:val="18"/>
          <w:szCs w:val="18"/>
        </w:rPr>
        <w:t xml:space="preserve">PageCipher-ankerstatus: </w:t>
      </w:r>
      <w:r>
        <w:rPr>
          <w:sz w:val="18"/>
          <w:szCs w:val="18"/>
        </w:rPr>
        <w:t xml:space="preserve">35/40 Verankerd</w:t>
      </w:r>
    </w:p>
    <w:p>
      <w:pPr>
        <w:spacing w:after="20"/>
      </w:pPr>
      <w:r>
        <w:rPr>
          <w:b/>
          <w:sz w:val="18"/>
          <w:szCs w:val="18"/>
        </w:rPr>
        <w:t xml:space="preserve">PageCipher-ankerreferentie: </w:t>
      </w:r>
      <w:r>
        <w:rPr>
          <w:sz w:val="18"/>
          <w:szCs w:val="18"/>
        </w:rPr>
        <w:t xml:space="preserve">pagecipher:4d4872c2390f17ea55a1318100abf149</w:t>
      </w:r>
    </w:p>
    <w:p>
      <w:pPr>
        <w:spacing w:after="20"/>
      </w:pPr>
      <w:r>
        <w:rPr>
          <w:b/>
          <w:sz w:val="18"/>
          <w:szCs w:val="18"/>
        </w:rPr>
        <w:t xml:space="preserve">Laatste ankerpoging: </w:t>
      </w:r>
      <w:r>
        <w:rPr>
          <w:sz w:val="18"/>
          <w:szCs w:val="18"/>
        </w:rPr>
        <w:t xml:space="preserve">2026-09-04T07:26:17.622Z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Het PageCipher-anker toont de integriteit en herkomst van het bewijs aan — het certificeert geen rechtsconformiteit.</w:t>
      </w:r>
    </w:p>
    <w:p>
      <w:pPr>
        <w:spacing w:before="160" w:after="60"/>
      </w:pPr>
      <w:r>
        <w:rPr>
          <w:b/>
          <w:sz w:val="30"/>
          <w:szCs w:val="30"/>
        </w:rPr>
        <w:t xml:space="preserve">Openstaande risico's en hiaten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8 openstaande controles zonder bewijs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Menselijke goedkeuring staat nog uit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Juridische kennisgevingen (disclaimer)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Dit rapport certificeert geen rechtsconformiteit.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De risicoclassificatie is voorlopig en vervangt geen juridische beoordeling.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De juridische beoordeling kan een gespecialiseerde juridische toetsing vereisen.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Dit rapport dient ter voorbereiding van governance en compliance op basis van bewijs. Het vormt geen juridisch advies, geen certificering en geen conformiteitsverklaring.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De menselijke verantwoordelijkheid blijft verplicht; AI neemt geen automatische beslissingen over personen.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Bijlage</w:t>
      </w:r>
    </w:p>
    <w:p>
      <w:pPr>
        <w:spacing w:before="160" w:after="60"/>
      </w:pPr>
      <w:r>
        <w:rPr>
          <w:b/>
          <w:sz w:val="25"/>
          <w:szCs w:val="25"/>
        </w:rPr>
        <w:t xml:space="preserve">Controlecatalogus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3020"/>
        <w:gridCol w:w="3020"/>
        <w:gridCol w:w="3020"/>
      </w:tblGrid>
      <w:tr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Controle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Bron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Vindplaats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Toetsing op verboden praktijken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Risicomanagementsysteem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9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Data-governance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Technische documentatie (nabij Bijlage IV)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11 / Annex IV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Logging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Transparantie &amp; markering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Menselijk toezicht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Nauwkeurigheid, robuustheid, cyberbeveiliging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Rechtmatigheid van de verwerking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Dataminimalisatie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Gegevensbeschermingseffectbeoordeling (DPIA)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35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Rechten van betrokkenen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Bias-monitoring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internal_policy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Policy AI-BIAS-01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AI-competentie van de betrokkenen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ai_literacy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Toegangscontrole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security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Audit-/bewijsketen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Metagegevens van de generatie</w:t>
      </w:r>
    </w:p>
    <w:p>
      <w:pPr>
        <w:spacing w:after="20"/>
      </w:pPr>
      <w:r>
        <w:rPr>
          <w:b/>
          <w:sz w:val="18"/>
          <w:szCs w:val="18"/>
        </w:rPr>
        <w:t xml:space="preserve">Aangemaakt op: </w:t>
      </w:r>
      <w:r>
        <w:rPr>
          <w:sz w:val="18"/>
          <w:szCs w:val="18"/>
        </w:rPr>
        <w:t xml:space="preserve">2026-09-04T07:26:44.304Z</w:t>
      </w:r>
    </w:p>
    <w:p>
      <w:pPr>
        <w:spacing w:after="20"/>
      </w:pPr>
      <w:r>
        <w:rPr>
          <w:b/>
          <w:sz w:val="18"/>
          <w:szCs w:val="18"/>
        </w:rPr>
        <w:t xml:space="preserve">Versie: </w:t>
      </w:r>
      <w:r>
        <w:rPr>
          <w:sz w:val="18"/>
          <w:szCs w:val="18"/>
        </w:rPr>
        <w:t xml:space="preserve">0.1.0</w:t>
      </w:r>
    </w:p>
    <w:p>
      <w:pPr>
        <w:spacing w:after="20"/>
      </w:pPr>
      <w:r>
        <w:rPr>
          <w:b/>
          <w:sz w:val="18"/>
          <w:szCs w:val="18"/>
        </w:rPr>
        <w:t xml:space="preserve">Taaldekking: </w:t>
      </w:r>
      <w:r>
        <w:rPr>
          <w:sz w:val="18"/>
          <w:szCs w:val="18"/>
        </w:rPr>
        <w:t xml:space="preserve">100 %</w:t>
      </w:r>
    </w:p>
    <w:p>
      <w:pPr>
        <w:spacing w:after="20"/>
      </w:pPr>
      <w:r>
        <w:rPr>
          <w:b/>
          <w:sz w:val="18"/>
          <w:szCs w:val="18"/>
        </w:rPr>
        <w:t xml:space="preserve">Aantal evidence-gebeurtenissen: </w:t>
      </w:r>
      <w:r>
        <w:rPr>
          <w:sz w:val="18"/>
          <w:szCs w:val="18"/>
        </w:rPr>
        <w:t xml:space="preserve">960</w:t>
      </w:r>
    </w:p>
    <w:p>
      <w:pPr>
        <w:spacing w:after="40"/>
      </w:pPr>
    </w:p>
    <w:p>
      <w:sectPr>
        <w:pgSz w:w="11906" w:h="16838"/>
        <w:pgMar w:top="1134" w:right="1134" w:bottom="1134" w:left="1134" w:header="720" w:footer="720" w:gutter="0"/>
      </w:sectPr>
    </w:p>
  </w:body>
</w:document>
</file>