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Risk Signals para operaciones inmobiliarias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uc_cx_e05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2026-09-04T08:10:51.367Z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Borrador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4414245c5dd67eb7…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Señales de alerta temprana a nivel de cartera (riesgo de desocupación, acumulación de mantenimiento) — la referencia a un caso concreto eleva la clase de riesgo.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Indicaciones para la planificación operativa — las medidas las decide una persona.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Indicaciones para la planificación operativa — las medidas las decide una persona.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indirekt_bei_einzelfallbezug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portfolio_betriebsdaten_aggregiert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Borrador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60"/>
      </w:pPr>
      <w:r>
        <w:rPr>
          <w:sz w:val="19"/>
          <w:szCs w:val="19"/>
        </w:rPr>
        <w:t xml:space="preserve">El caso de uso aún no está clasificado — los controles solo están disponibles tras la clasificación de riesgo.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p>
      <w:pPr>
        <w:spacing w:after="60"/>
      </w:pPr>
      <w:r>
        <w:rPr>
          <w:sz w:val="19"/>
          <w:szCs w:val="19"/>
        </w:rPr>
        <w:t xml:space="preserve">El caso de uso aún no está clasificado — los controles solo están disponibles tras la clasificación de riesgo.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Asignación de supervisión pendiente — antes de la aprobación debe designarse a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p>
      <w:pPr>
        <w:spacing w:after="60"/>
      </w:pPr>
      <w:r>
        <w:rPr>
          <w:sz w:val="19"/>
          <w:szCs w:val="19"/>
        </w:rPr>
        <w:t xml:space="preserve">Todavía no se han registrado decisiones de revisión.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23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2026-09-04T04:58:17.368Z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e9a8152550e6…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2026-09-04T05:00:27.236Z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027d251632d5…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2026-09-04T06:47:20.294Z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a4239e978915…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2026-09-04T07:25:58.973Z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97472d323450…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2026-09-04T07:25:59.466Z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32341ab6fdff…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2026-09-04T07:26:05.019Z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5d426b731e12…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2026-09-04T07:26:17.571Z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aec48dc5c311…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2026-09-04T07:26:44.418Z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1615bda583e4…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2026-09-04T07:26:49.988Z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f3488fd18ebb…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2026-09-04T07:39:13.075Z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5ed5a2da0d07…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2026-09-04T07:39:52.317Z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309f84555a83…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2026-09-04T08:09:53.518Z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648d393df054…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2026-09-04T08:10:21.859Z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fd337eb0e607…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2026-09-04T08:10:23.622Z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c756e76c51a6…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22/23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pagecipher:1e762a21b04d6901a3b0ad1b7f5753bf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2026-09-04T08:10:23.629Z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spacing w:after="60"/>
      </w:pPr>
      <w:r>
        <w:rPr>
          <w:sz w:val="19"/>
          <w:szCs w:val="19"/>
        </w:rPr>
        <w:t xml:space="preserve">No se han registrado puntos abiertos.</w:t>
      </w: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2026-09-04T08:10:51.367Z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1179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