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Signaux de risque pour les opérations immobilières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uc_cx_e05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2026-09-04T07:25:58.962Z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Brouillon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9fc8bfb161acdfe6…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Signaux d'alerte précoce au niveau du portefeuille (risque de vacance, arriéré de maintenance) — un lien avec un cas individuel relève la classe de risque.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Indications pour la planification opérationnelle — les mesures sont décidées par un humain.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Non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Indications pour la planification opérationnelle — les mesures sont décidées par un humain.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indirekt_bei_einzelfallbezug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portfolio_betriebsdaten_aggregiert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classification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Brouillon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60"/>
      </w:pPr>
      <w:r>
        <w:rPr>
          <w:sz w:val="19"/>
          <w:szCs w:val="19"/>
        </w:rPr>
        <w:t xml:space="preserve">Le cas d'usage n'est pas encore classé — les contrôles ne sont disponibles qu'après la classification de risque.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p>
      <w:pPr>
        <w:spacing w:after="60"/>
      </w:pPr>
      <w:r>
        <w:rPr>
          <w:sz w:val="19"/>
          <w:szCs w:val="19"/>
        </w:rPr>
        <w:t xml:space="preserve">Le cas d'usage n'est pas encore classé — les contrôles ne sont disponibles qu'après la classification de risque.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Attribution de la supervision en attente — un final responsible human doit être désigné avant l'approbation.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p>
      <w:pPr>
        <w:spacing w:after="60"/>
      </w:pPr>
      <w:r>
        <w:rPr>
          <w:sz w:val="19"/>
          <w:szCs w:val="19"/>
        </w:rPr>
        <w:t xml:space="preserve">Aucune décision d'examen encore enregistrée.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2026-07-10T11:52:53.656Z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actor_lilli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use_case.drafted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058ad8f9b519…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2026-09-02T19:06:40.987Z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51cebe7e0409…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2026-09-02T19:07:34.255Z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5f08ed1efd77…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2026-09-02T19:07:40.607Z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50faf791fbd1…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2026-09-02T19:07:46.226Z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3d79043fc917…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2026-09-02T19:07:47.720Z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fc07bdb736cb…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2026-09-02T19:07:49.682Z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0b35004bfc64…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2026-09-02T19:07:59.692Z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8370230a87f9…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2026-09-04T04:58:16.170Z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444328ef577e…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2026-09-04T04:58:17.368Z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e9a8152550e6…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2026-09-04T05:00:27.236Z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027d251632d5…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2026-09-04T06:47:20.294Z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a4239e978915…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11/12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pagecipher:1e762a21b04d6901a3b0ad1b7f5753bf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2026-09-04T06:47:20.300Z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spacing w:after="60"/>
      </w:pPr>
      <w:r>
        <w:rPr>
          <w:sz w:val="19"/>
          <w:szCs w:val="19"/>
        </w:rPr>
        <w:t xml:space="preserve">Aucun point ouvert enregistré.</w:t>
      </w: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2026-09-04T07:25:58.962Z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924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