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Report di governance — Risk Signals per le operazioni immobiliari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preparazione alla governance, supporto all'assurance ed evidenze audit-ready. Nessuna attestazione di conformità giuridica.</w:t>
      </w:r>
    </w:p>
    <w:p>
      <w:pPr>
        <w:spacing w:after="20"/>
      </w:pPr>
      <w:r>
        <w:rPr>
          <w:b/>
          <w:sz w:val="18"/>
          <w:szCs w:val="18"/>
        </w:rPr>
        <w:t xml:space="preserve">Prodotto: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uc_cx_e05 (v1)</w:t>
      </w:r>
    </w:p>
    <w:p>
      <w:pPr>
        <w:spacing w:after="20"/>
      </w:pPr>
      <w:r>
        <w:rPr>
          <w:b/>
          <w:sz w:val="18"/>
          <w:szCs w:val="18"/>
        </w:rPr>
        <w:t xml:space="preserve">Sistema sorgente: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Lingua: </w:t>
      </w:r>
      <w:r>
        <w:rPr>
          <w:sz w:val="18"/>
          <w:szCs w:val="18"/>
        </w:rPr>
        <w:t xml:space="preserve">IT</w:t>
      </w:r>
    </w:p>
    <w:p>
      <w:pPr>
        <w:spacing w:after="20"/>
      </w:pPr>
      <w:r>
        <w:rPr>
          <w:b/>
          <w:sz w:val="18"/>
          <w:szCs w:val="18"/>
        </w:rPr>
        <w:t xml:space="preserve">Modalità dati: </w:t>
      </w:r>
      <w:r>
        <w:rPr>
          <w:sz w:val="18"/>
          <w:szCs w:val="18"/>
        </w:rPr>
        <w:t xml:space="preserve">sintetico</w:t>
      </w:r>
    </w:p>
    <w:p>
      <w:pPr>
        <w:spacing w:after="20"/>
      </w:pPr>
      <w:r>
        <w:rPr>
          <w:b/>
          <w:sz w:val="18"/>
          <w:szCs w:val="18"/>
        </w:rPr>
        <w:t xml:space="preserve">Creato il: </w:t>
      </w:r>
      <w:r>
        <w:rPr>
          <w:sz w:val="18"/>
          <w:szCs w:val="18"/>
        </w:rPr>
        <w:t xml:space="preserve">2026-09-04T08:09:53.504Z</w:t>
      </w:r>
    </w:p>
    <w:p>
      <w:pPr>
        <w:spacing w:after="20"/>
      </w:pPr>
      <w:r>
        <w:rPr>
          <w:b/>
          <w:sz w:val="18"/>
          <w:szCs w:val="18"/>
        </w:rPr>
        <w:t xml:space="preserve">Stato del report: </w:t>
      </w:r>
      <w:r>
        <w:rPr>
          <w:sz w:val="18"/>
          <w:szCs w:val="18"/>
        </w:rPr>
        <w:t xml:space="preserve">Bozza</w:t>
      </w:r>
    </w:p>
    <w:p>
      <w:pPr>
        <w:spacing w:after="20"/>
      </w:pPr>
      <w:r>
        <w:rPr>
          <w:b/>
          <w:sz w:val="18"/>
          <w:szCs w:val="18"/>
        </w:rPr>
        <w:t xml:space="preserve">Hash di integrità: </w:t>
      </w:r>
      <w:r>
        <w:rPr>
          <w:sz w:val="18"/>
          <w:szCs w:val="18"/>
        </w:rPr>
        <w:t xml:space="preserve">0235d1c00b4461e6…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Il presente report si basa esclusivamente su dati sintetici (esercizio pilota). Nessun dato personale reale.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Il presente report non certifica alcuna conformità giuridica.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Sintesi per i decisori</w:t>
      </w:r>
    </w:p>
    <w:p>
      <w:pPr>
        <w:spacing w:after="60"/>
      </w:pPr>
      <w:r>
        <w:rPr>
          <w:sz w:val="19"/>
          <w:szCs w:val="19"/>
        </w:rPr>
        <w:t xml:space="preserve">Segnali di allerta precoce a livello di portafoglio (rischio di sfitto, arretrato di manutenzione) — il riferimento al singolo caso innalza la classe di rischio.</w:t>
      </w:r>
    </w:p>
    <w:p>
      <w:pPr>
        <w:spacing w:after="20"/>
      </w:pPr>
      <w:r>
        <w:rPr>
          <w:b/>
          <w:sz w:val="18"/>
          <w:szCs w:val="18"/>
        </w:rPr>
        <w:t xml:space="preserve">Finalità prevista: </w:t>
      </w:r>
      <w:r>
        <w:rPr>
          <w:sz w:val="18"/>
          <w:szCs w:val="18"/>
        </w:rPr>
        <w:t xml:space="preserve">Indicazioni per la pianificazione operativa — le misure le decide un essere umano.</w:t>
      </w:r>
    </w:p>
    <w:p>
      <w:pPr>
        <w:spacing w:after="20"/>
      </w:pPr>
      <w:r>
        <w:rPr>
          <w:b/>
          <w:sz w:val="18"/>
          <w:szCs w:val="18"/>
        </w:rPr>
        <w:t xml:space="preserve">Classe di rischio preliminare: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Supervisione umana necessaria: </w:t>
      </w:r>
      <w:r>
        <w:rPr>
          <w:sz w:val="18"/>
          <w:szCs w:val="18"/>
        </w:rPr>
        <w:t xml:space="preserve">No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Governance Readiness indica il grado di preparazione (prove presenti/verificate) — non certifica alcuna conformità.</w:t>
      </w:r>
    </w:p>
    <w:p>
      <w:pPr>
        <w:spacing w:before="160" w:after="60"/>
      </w:pPr>
      <w:r>
        <w:rPr>
          <w:b/>
          <w:sz w:val="30"/>
          <w:szCs w:val="30"/>
        </w:rPr>
        <w:t xml:space="preserve">Profilo del caso d'uso</w:t>
      </w:r>
    </w:p>
    <w:p>
      <w:pPr>
        <w:spacing w:after="20"/>
      </w:pPr>
      <w:r>
        <w:rPr>
          <w:b/>
          <w:sz w:val="18"/>
          <w:szCs w:val="18"/>
        </w:rPr>
        <w:t xml:space="preserve">Finalità prevista: </w:t>
      </w:r>
      <w:r>
        <w:rPr>
          <w:sz w:val="18"/>
          <w:szCs w:val="18"/>
        </w:rPr>
        <w:t xml:space="preserve">Indicazioni per la pianificazione operativa — le misure le decide un essere umano.</w:t>
      </w:r>
    </w:p>
    <w:p>
      <w:pPr>
        <w:spacing w:after="20"/>
      </w:pPr>
      <w:r>
        <w:rPr>
          <w:b/>
          <w:sz w:val="18"/>
          <w:szCs w:val="18"/>
        </w:rPr>
        <w:t xml:space="preserve">Gruppi di persone interessate: </w:t>
      </w:r>
      <w:r>
        <w:rPr>
          <w:sz w:val="18"/>
          <w:szCs w:val="18"/>
        </w:rPr>
        <w:t xml:space="preserve">indirekt_bei_einzelfallbezug</w:t>
      </w:r>
    </w:p>
    <w:p>
      <w:pPr>
        <w:spacing w:after="20"/>
      </w:pPr>
      <w:r>
        <w:rPr>
          <w:b/>
          <w:sz w:val="18"/>
          <w:szCs w:val="18"/>
        </w:rPr>
        <w:t xml:space="preserve">Fonti di dati: </w:t>
      </w:r>
      <w:r>
        <w:rPr>
          <w:sz w:val="18"/>
          <w:szCs w:val="18"/>
        </w:rPr>
        <w:t xml:space="preserve">portfolio_betriebsdaten_aggregiert</w:t>
      </w:r>
    </w:p>
    <w:p>
      <w:pPr>
        <w:spacing w:after="20"/>
      </w:pPr>
      <w:r>
        <w:rPr>
          <w:b/>
          <w:sz w:val="18"/>
          <w:szCs w:val="18"/>
        </w:rPr>
        <w:t xml:space="preserve">Funzione di IA: </w:t>
      </w:r>
      <w:r>
        <w:rPr>
          <w:sz w:val="18"/>
          <w:szCs w:val="18"/>
        </w:rPr>
        <w:t xml:space="preserve">classification</w:t>
      </w:r>
    </w:p>
    <w:p>
      <w:pPr>
        <w:spacing w:after="20"/>
      </w:pPr>
      <w:r>
        <w:rPr>
          <w:b/>
          <w:sz w:val="18"/>
          <w:szCs w:val="18"/>
        </w:rPr>
        <w:t xml:space="preserve">Impatti possibili: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Ambito giuridico: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Sistema sorgente: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Stato del ciclo di vita: </w:t>
      </w:r>
      <w:r>
        <w:rPr>
          <w:sz w:val="18"/>
          <w:szCs w:val="18"/>
        </w:rPr>
        <w:t xml:space="preserve">Bozza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Valutazione del rischio (preliminare)</w:t>
      </w:r>
    </w:p>
    <w:p>
      <w:pPr>
        <w:spacing w:after="60"/>
      </w:pPr>
      <w:r>
        <w:rPr>
          <w:sz w:val="19"/>
          <w:szCs w:val="19"/>
        </w:rPr>
        <w:t xml:space="preserve">Il caso d'uso non è ancora classificato — i controlli sono disponibili solo dopo la classificazione del rischio.</w:t>
      </w:r>
    </w:p>
    <w:p>
      <w:pPr>
        <w:spacing w:before="160" w:after="60"/>
      </w:pPr>
      <w:r>
        <w:rPr>
          <w:b/>
          <w:sz w:val="30"/>
          <w:szCs w:val="30"/>
        </w:rPr>
        <w:t xml:space="preserve">Panoramica di policy e controlli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Lo stato del controllo documenta la verifica delle prove — non certifica alcuna conformità.</w:t>
      </w:r>
    </w:p>
    <w:p>
      <w:pPr>
        <w:spacing w:after="60"/>
      </w:pPr>
      <w:r>
        <w:rPr>
          <w:sz w:val="19"/>
          <w:szCs w:val="19"/>
        </w:rPr>
        <w:t xml:space="preserve">Il caso d'uso non è ancora classificato — i controlli sono disponibili solo dopo la classificazione del rischio.</w:t>
      </w:r>
    </w:p>
    <w:p>
      <w:pPr>
        <w:spacing w:before="160" w:after="60"/>
      </w:pPr>
      <w:r>
        <w:rPr>
          <w:b/>
          <w:sz w:val="30"/>
          <w:szCs w:val="30"/>
        </w:rPr>
        <w:t xml:space="preserve">Supervisione umana</w:t>
      </w:r>
    </w:p>
    <w:p>
      <w:pPr>
        <w:spacing w:after="20"/>
      </w:pPr>
      <w:r>
        <w:rPr>
          <w:b/>
          <w:sz w:val="18"/>
          <w:szCs w:val="18"/>
        </w:rPr>
        <w:t xml:space="preserve">Persona responsabile: </w:t>
      </w:r>
      <w:r>
        <w:rPr>
          <w:sz w:val="18"/>
          <w:szCs w:val="18"/>
        </w:rPr>
        <w:t xml:space="preserve">Assegnazione dell'oversight in sospeso — prima dell'approvazione va designato un final responsible human.</w:t>
      </w:r>
    </w:p>
    <w:p>
      <w:pPr>
        <w:spacing w:after="20"/>
      </w:pPr>
      <w:r>
        <w:rPr>
          <w:b/>
          <w:sz w:val="18"/>
          <w:szCs w:val="18"/>
        </w:rPr>
        <w:t xml:space="preserve">Persona revisora: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responsabilità umana rimane obbligatoria; l'IA non prende decisioni automatiche sulle persone.</w:t>
      </w:r>
    </w:p>
    <w:p>
      <w:pPr>
        <w:spacing w:before="160" w:after="60"/>
      </w:pPr>
      <w:r>
        <w:rPr>
          <w:b/>
          <w:sz w:val="25"/>
          <w:szCs w:val="25"/>
        </w:rPr>
        <w:t xml:space="preserve">Cronologia delle revisioni</w:t>
      </w:r>
    </w:p>
    <w:p>
      <w:pPr>
        <w:spacing w:after="60"/>
      </w:pPr>
      <w:r>
        <w:rPr>
          <w:sz w:val="19"/>
          <w:szCs w:val="19"/>
        </w:rPr>
        <w:t xml:space="preserve">Nessuna decisione di revisione ancora registrata.</w:t>
      </w:r>
    </w:p>
    <w:p>
      <w:pPr>
        <w:spacing w:before="160" w:after="60"/>
      </w:pPr>
      <w:r>
        <w:rPr>
          <w:b/>
          <w:sz w:val="30"/>
          <w:szCs w:val="30"/>
        </w:rPr>
        <w:t xml:space="preserve">Sintesi delle evidenze</w:t>
      </w:r>
    </w:p>
    <w:p>
      <w:pPr>
        <w:spacing w:after="20"/>
      </w:pPr>
      <w:r>
        <w:rPr>
          <w:b/>
          <w:sz w:val="18"/>
          <w:szCs w:val="18"/>
        </w:rPr>
        <w:t xml:space="preserve">Stato della catena di evidenze: </w:t>
      </w:r>
      <w:r>
        <w:rPr>
          <w:sz w:val="18"/>
          <w:szCs w:val="18"/>
        </w:rPr>
        <w:t xml:space="preserve">non valida (sospetta manomissione)</w:t>
      </w:r>
    </w:p>
    <w:p>
      <w:pPr>
        <w:spacing w:after="20"/>
      </w:pPr>
      <w:r>
        <w:rPr>
          <w:b/>
          <w:sz w:val="18"/>
          <w:szCs w:val="18"/>
        </w:rPr>
        <w:t xml:space="preserve">Numero di eventi di evidenza: </w:t>
      </w:r>
      <w:r>
        <w:rPr>
          <w:sz w:val="18"/>
          <w:szCs w:val="18"/>
        </w:rPr>
        <w:t xml:space="preserve">20</w:t>
      </w:r>
    </w:p>
    <w:p>
      <w:pPr>
        <w:spacing w:after="20"/>
      </w:pPr>
      <w:r>
        <w:rPr>
          <w:b/>
          <w:sz w:val="18"/>
          <w:szCs w:val="18"/>
        </w:rPr>
        <w:t xml:space="preserve">Verifica superata: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Ancoraggio simulato (integrazione PageCipher in sospeso) — contrassegnato come simulazione.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Marca temporale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Azione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652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2026-09-02T19:07:49.682Z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0b35004bfc64…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678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2026-09-02T19:07:59.692Z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8370230a87f9…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706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2026-09-04T04:58:16.170Z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444328ef577e…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708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2026-09-04T04:58:17.368Z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e9a8152550e6…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710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2026-09-04T05:00:27.236Z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027d251632d5…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840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2026-09-04T06:47:20.294Z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a4239e978915…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925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2026-09-04T07:25:58.973Z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97472d323450…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934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2026-09-04T07:25:59.466Z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32341ab6fdff…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937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2026-09-04T07:26:05.019Z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5d426b731e12…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953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2026-09-04T07:26:17.571Z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aec48dc5c311…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963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2026-09-04T07:26:44.418Z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1615bda583e4…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975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2026-09-04T07:26:49.988Z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f3488fd18ebb…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1058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2026-09-04T07:39:13.075Z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5ed5a2da0d07…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1070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2026-09-04T07:39:52.317Z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309f84555a83…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Stato dell'ancora PageCipher</w:t>
      </w:r>
    </w:p>
    <w:p>
      <w:pPr>
        <w:spacing w:after="20"/>
      </w:pPr>
      <w:r>
        <w:rPr>
          <w:b/>
          <w:sz w:val="18"/>
          <w:szCs w:val="18"/>
        </w:rPr>
        <w:t xml:space="preserve">Stato dell'integrazione PageCipher: </w:t>
      </w:r>
      <w:r>
        <w:rPr>
          <w:sz w:val="18"/>
          <w:szCs w:val="18"/>
        </w:rPr>
        <w:t xml:space="preserve">Attivo (integrazione HTTP con PageCipher)</w:t>
      </w:r>
    </w:p>
    <w:p>
      <w:pPr>
        <w:spacing w:after="20"/>
      </w:pPr>
      <w:r>
        <w:rPr>
          <w:b/>
          <w:sz w:val="18"/>
          <w:szCs w:val="18"/>
        </w:rPr>
        <w:t xml:space="preserve">Stato dell'ancora PageCipher: </w:t>
      </w:r>
      <w:r>
        <w:rPr>
          <w:sz w:val="18"/>
          <w:szCs w:val="18"/>
        </w:rPr>
        <w:t xml:space="preserve">19/20 Ancorato</w:t>
      </w:r>
    </w:p>
    <w:p>
      <w:pPr>
        <w:spacing w:after="20"/>
      </w:pPr>
      <w:r>
        <w:rPr>
          <w:b/>
          <w:sz w:val="18"/>
          <w:szCs w:val="18"/>
        </w:rPr>
        <w:t xml:space="preserve">Riferimento dell'ancora PageCipher: </w:t>
      </w:r>
      <w:r>
        <w:rPr>
          <w:sz w:val="18"/>
          <w:szCs w:val="18"/>
        </w:rPr>
        <w:t xml:space="preserve">pagecipher:1e762a21b04d6901a3b0ad1b7f5753bf</w:t>
      </w:r>
    </w:p>
    <w:p>
      <w:pPr>
        <w:spacing w:after="20"/>
      </w:pPr>
      <w:r>
        <w:rPr>
          <w:b/>
          <w:sz w:val="18"/>
          <w:szCs w:val="18"/>
        </w:rPr>
        <w:t xml:space="preserve">Ultimo tentativo di ancoraggio: </w:t>
      </w:r>
      <w:r>
        <w:rPr>
          <w:sz w:val="18"/>
          <w:szCs w:val="18"/>
        </w:rPr>
        <w:t xml:space="preserve">2026-09-04T07:39:52.323Z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L'ancora PageCipher attesta l'integrità e la provenienza delle evidenze — non certifica alcuna conformità giuridica.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Rischi e lacune aperti</w:t>
      </w:r>
    </w:p>
    <w:p>
      <w:pPr>
        <w:spacing w:after="60"/>
      </w:pPr>
      <w:r>
        <w:rPr>
          <w:sz w:val="19"/>
          <w:szCs w:val="19"/>
        </w:rPr>
        <w:t xml:space="preserve">Nessun punto aperto registrato.</w:t>
      </w:r>
    </w:p>
    <w:p>
      <w:pPr>
        <w:spacing w:before="160" w:after="60"/>
      </w:pPr>
      <w:r>
        <w:rPr>
          <w:b/>
          <w:sz w:val="30"/>
          <w:szCs w:val="30"/>
        </w:rPr>
        <w:t xml:space="preserve">Avvertenze legali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Il presente report non certifica alcuna conformità giuridica.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classificazione del rischio è preliminare e non sostituisce una valutazione giuridica.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valutazione giuridica può richiedere un esame legale specializzato.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Il presente report serve alla preparazione alla governance e alla compliance su base probatoria. Non costituisce consulenza legale, certificazione né attestazione di conformità.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responsabilità umana rimane obbligatoria; l'IA non prende decisioni automatiche sulle persone.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Appendice</w:t>
      </w:r>
    </w:p>
    <w:p>
      <w:pPr>
        <w:spacing w:before="160" w:after="60"/>
      </w:pPr>
      <w:r>
        <w:rPr>
          <w:b/>
          <w:sz w:val="25"/>
          <w:szCs w:val="25"/>
        </w:rPr>
        <w:t xml:space="preserve">Catalogo dei controlli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Controllo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Fonte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Riferimento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Verifica delle pratiche vietate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di gestione del rischio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 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Documentazione tecnica (simile all'Allegato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Registrazione dei log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Trasparenza ed etichettatura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Supervisione umana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Accuratezza, robustezza, cybersicurezza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Liceità del trattamento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Minimizzazione dei dati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Valutazione d'impatto sulla protezione dei dati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Diritti degli interessati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Monitoraggio dei bias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Competenza in materia di IA delle persone coinvolte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Controllo degli accessi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Catena di audit/evidenze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Metadati di generazione</w:t>
      </w:r>
    </w:p>
    <w:p>
      <w:pPr>
        <w:spacing w:after="20"/>
      </w:pPr>
      <w:r>
        <w:rPr>
          <w:b/>
          <w:sz w:val="18"/>
          <w:szCs w:val="18"/>
        </w:rPr>
        <w:t xml:space="preserve">Creato il: </w:t>
      </w:r>
      <w:r>
        <w:rPr>
          <w:sz w:val="18"/>
          <w:szCs w:val="18"/>
        </w:rPr>
        <w:t xml:space="preserve">2026-09-04T08:09:53.504Z</w:t>
      </w:r>
    </w:p>
    <w:p>
      <w:pPr>
        <w:spacing w:after="20"/>
      </w:pPr>
      <w:r>
        <w:rPr>
          <w:b/>
          <w:sz w:val="18"/>
          <w:szCs w:val="18"/>
        </w:rPr>
        <w:t xml:space="preserve">Versione: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Copertura linguistica: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Numero di eventi di evidenza: </w:t>
      </w:r>
      <w:r>
        <w:rPr>
          <w:sz w:val="18"/>
          <w:szCs w:val="18"/>
        </w:rPr>
        <w:t xml:space="preserve">1171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