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Governance-rapport — Risk Signals voor vastgoedoperaties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voorbereiding van governance, assurance-ondersteuning en auditklaar bewijs. Geen bewijs van rechtsconformiteit.</w:t>
      </w:r>
    </w:p>
    <w:p>
      <w:pPr>
        <w:spacing w:after="20"/>
      </w:pPr>
      <w:r>
        <w:rPr>
          <w:b/>
          <w:sz w:val="18"/>
          <w:szCs w:val="18"/>
        </w:rPr>
        <w:t xml:space="preserve">Product: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uc_cx_e05 (v1)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Taal: </w:t>
      </w:r>
      <w:r>
        <w:rPr>
          <w:sz w:val="18"/>
          <w:szCs w:val="18"/>
        </w:rPr>
        <w:t xml:space="preserve">NL</w:t>
      </w:r>
    </w:p>
    <w:p>
      <w:pPr>
        <w:spacing w:after="20"/>
      </w:pPr>
      <w:r>
        <w:rPr>
          <w:b/>
          <w:sz w:val="18"/>
          <w:szCs w:val="18"/>
        </w:rPr>
        <w:t xml:space="preserve">Gegevensmodus: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2026-09-04T07:39:13.062Z</w:t>
      </w:r>
    </w:p>
    <w:p>
      <w:pPr>
        <w:spacing w:after="20"/>
      </w:pPr>
      <w:r>
        <w:rPr>
          <w:b/>
          <w:sz w:val="18"/>
          <w:szCs w:val="18"/>
        </w:rPr>
        <w:t xml:space="preserve">Rapportstatus: </w:t>
      </w:r>
      <w:r>
        <w:rPr>
          <w:sz w:val="18"/>
          <w:szCs w:val="18"/>
        </w:rPr>
        <w:t xml:space="preserve">Concept</w:t>
      </w:r>
    </w:p>
    <w:p>
      <w:pPr>
        <w:spacing w:after="20"/>
      </w:pPr>
      <w:r>
        <w:rPr>
          <w:b/>
          <w:sz w:val="18"/>
          <w:szCs w:val="18"/>
        </w:rPr>
        <w:t xml:space="preserve">Integriteits-hash: </w:t>
      </w:r>
      <w:r>
        <w:rPr>
          <w:sz w:val="18"/>
          <w:szCs w:val="18"/>
        </w:rPr>
        <w:t xml:space="preserve">b1247e468c8be68a…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is uitsluitend gebaseerd op synthetische gegevens (pilotbedrijf). Geen echte persoonsgegevens.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Samenvatting voor besluitvormers</w:t>
      </w:r>
    </w:p>
    <w:p>
      <w:pPr>
        <w:spacing w:after="60"/>
      </w:pPr>
      <w:r>
        <w:rPr>
          <w:sz w:val="19"/>
          <w:szCs w:val="19"/>
        </w:rPr>
        <w:t xml:space="preserve">Vroegtijdige waarschuwingssignalen op portefeuilleniveau (leegstandsrisico, achterstallig onderhoud) — individuele gevalsgebondenheid verhoogt de risicoklasse.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Signalen voor operationele planning — over maatregelen beslist een mens.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Menselijk toezicht vereist: </w:t>
      </w:r>
      <w:r>
        <w:rPr>
          <w:sz w:val="18"/>
          <w:szCs w:val="18"/>
        </w:rPr>
        <w:t xml:space="preserve">Nee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duidt de mate van voorbereiding aan (bewijzen aanwezig/getoetst) — het certificeert geen 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Use-case-profiel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Signalen voor operationele planning — over maatregelen beslist een mens.</w:t>
      </w:r>
    </w:p>
    <w:p>
      <w:pPr>
        <w:spacing w:after="20"/>
      </w:pPr>
      <w:r>
        <w:rPr>
          <w:b/>
          <w:sz w:val="18"/>
          <w:szCs w:val="18"/>
        </w:rPr>
        <w:t xml:space="preserve">Betrokken persoonsgroepen: </w:t>
      </w:r>
      <w:r>
        <w:rPr>
          <w:sz w:val="18"/>
          <w:szCs w:val="18"/>
        </w:rPr>
        <w:t xml:space="preserve">indirekt_bei_einzelfallbezug</w:t>
      </w:r>
    </w:p>
    <w:p>
      <w:pPr>
        <w:spacing w:after="20"/>
      </w:pPr>
      <w:r>
        <w:rPr>
          <w:b/>
          <w:sz w:val="18"/>
          <w:szCs w:val="18"/>
        </w:rPr>
        <w:t xml:space="preserve">Gegevensbronnen: </w:t>
      </w:r>
      <w:r>
        <w:rPr>
          <w:sz w:val="18"/>
          <w:szCs w:val="18"/>
        </w:rPr>
        <w:t xml:space="preserve">portfolio_betriebsdaten_aggregiert</w:t>
      </w:r>
    </w:p>
    <w:p>
      <w:pPr>
        <w:spacing w:after="20"/>
      </w:pPr>
      <w:r>
        <w:rPr>
          <w:b/>
          <w:sz w:val="18"/>
          <w:szCs w:val="18"/>
        </w:rPr>
        <w:t xml:space="preserve">AI-functie: </w:t>
      </w:r>
      <w:r>
        <w:rPr>
          <w:sz w:val="18"/>
          <w:szCs w:val="18"/>
        </w:rPr>
        <w:t xml:space="preserve">classification</w:t>
      </w:r>
    </w:p>
    <w:p>
      <w:pPr>
        <w:spacing w:after="20"/>
      </w:pPr>
      <w:r>
        <w:rPr>
          <w:b/>
          <w:sz w:val="18"/>
          <w:szCs w:val="18"/>
        </w:rPr>
        <w:t xml:space="preserve">Mogelijke impact: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Rechtsgebied: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Levenscyclusstatus: </w:t>
      </w:r>
      <w:r>
        <w:rPr>
          <w:sz w:val="18"/>
          <w:szCs w:val="18"/>
        </w:rPr>
        <w:t xml:space="preserve">Concept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Risicobeoordeling (voorlopig)</w:t>
      </w:r>
    </w:p>
    <w:p>
      <w:pPr>
        <w:spacing w:after="60"/>
      </w:pPr>
      <w:r>
        <w:rPr>
          <w:sz w:val="19"/>
          <w:szCs w:val="19"/>
        </w:rPr>
        <w:t xml:space="preserve">Use case is nog niet geclassificeerd — controles zijn pas beschikbaar na de risicoclassificatie.</w:t>
      </w:r>
    </w:p>
    <w:p>
      <w:pPr>
        <w:spacing w:before="160" w:after="60"/>
      </w:pPr>
      <w:r>
        <w:rPr>
          <w:b/>
          <w:sz w:val="30"/>
          <w:szCs w:val="30"/>
        </w:rPr>
        <w:t xml:space="preserve">Overzicht van policy's en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controlestatus documenteert de toetsing van de bewijzen — hij certificeert geen conformiteit.</w:t>
      </w:r>
    </w:p>
    <w:p>
      <w:pPr>
        <w:spacing w:after="60"/>
      </w:pPr>
      <w:r>
        <w:rPr>
          <w:sz w:val="19"/>
          <w:szCs w:val="19"/>
        </w:rPr>
        <w:t xml:space="preserve">Use case is nog niet geclassificeerd — controles zijn pas beschikbaar na de risicoclassificatie.</w:t>
      </w:r>
    </w:p>
    <w:p>
      <w:pPr>
        <w:spacing w:before="160" w:after="60"/>
      </w:pPr>
      <w:r>
        <w:rPr>
          <w:b/>
          <w:sz w:val="30"/>
          <w:szCs w:val="30"/>
        </w:rPr>
        <w:t xml:space="preserve">Menselijk toezicht</w:t>
      </w:r>
    </w:p>
    <w:p>
      <w:pPr>
        <w:spacing w:after="20"/>
      </w:pPr>
      <w:r>
        <w:rPr>
          <w:b/>
          <w:sz w:val="18"/>
          <w:szCs w:val="18"/>
        </w:rPr>
        <w:t xml:space="preserve">Verantwoordelijke mens: </w:t>
      </w:r>
      <w:r>
        <w:rPr>
          <w:sz w:val="18"/>
          <w:szCs w:val="18"/>
        </w:rPr>
        <w:t xml:space="preserve">Toewijzing van oversight in afwachting — vóór goedkeuring moet een final responsible human worden aangewezen.</w:t>
      </w:r>
    </w:p>
    <w:p>
      <w:pPr>
        <w:spacing w:after="20"/>
      </w:pPr>
      <w:r>
        <w:rPr>
          <w:b/>
          <w:sz w:val="18"/>
          <w:szCs w:val="18"/>
        </w:rPr>
        <w:t xml:space="preserve">Beoordelaar: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menselijke verantwoordelijkheid blijft verplicht; AI neemt geen automatische beslissingen over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Reviewgeschiedenis</w:t>
      </w:r>
    </w:p>
    <w:p>
      <w:pPr>
        <w:spacing w:after="60"/>
      </w:pPr>
      <w:r>
        <w:rPr>
          <w:sz w:val="19"/>
          <w:szCs w:val="19"/>
        </w:rPr>
        <w:t xml:space="preserve">Nog geen reviewbeslissingen vastgelegd.</w:t>
      </w:r>
    </w:p>
    <w:p>
      <w:pPr>
        <w:spacing w:before="160" w:after="60"/>
      </w:pPr>
      <w:r>
        <w:rPr>
          <w:b/>
          <w:sz w:val="30"/>
          <w:szCs w:val="30"/>
        </w:rPr>
        <w:t xml:space="preserve">Bewijssamenvatting</w:t>
      </w:r>
    </w:p>
    <w:p>
      <w:pPr>
        <w:spacing w:after="20"/>
      </w:pPr>
      <w:r>
        <w:rPr>
          <w:b/>
          <w:sz w:val="18"/>
          <w:szCs w:val="18"/>
        </w:rPr>
        <w:t xml:space="preserve">Status van de bewijsketen: </w:t>
      </w:r>
      <w:r>
        <w:rPr>
          <w:sz w:val="18"/>
          <w:szCs w:val="18"/>
        </w:rPr>
        <w:t xml:space="preserve">ongeldig (vermoeden van manipulatie)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18</w:t>
      </w:r>
    </w:p>
    <w:p>
      <w:pPr>
        <w:spacing w:after="20"/>
      </w:pPr>
      <w:r>
        <w:rPr>
          <w:b/>
          <w:sz w:val="18"/>
          <w:szCs w:val="18"/>
        </w:rPr>
        <w:t xml:space="preserve">Verificatie geslaagd: </w:t>
      </w:r>
      <w:r>
        <w:rPr>
          <w:sz w:val="18"/>
          <w:szCs w:val="18"/>
        </w:rPr>
        <w:t xml:space="preserve">Nee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Gesimuleerde verankering (PageCipher-integratie in afwachting) — gemarkeerd als simulatie.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Tijdstempel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2026-09-02T19:07:46.226Z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3d79043fc917…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2026-09-02T19:07:47.720Z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fc07bdb736cb…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2026-09-02T19:07:49.682Z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0b35004bfc64…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2026-09-02T19:07:59.692Z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8370230a87f9…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2026-09-04T04:58:16.170Z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444328ef577e…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2026-09-04T04:58:17.368Z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e9a8152550e6…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2026-09-04T05:00:27.236Z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027d251632d5…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2026-09-04T06:47:20.294Z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a4239e978915…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2026-09-04T07:25:58.973Z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97472d323450…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2026-09-04T07:25:59.466Z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32341ab6fdff…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937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2026-09-04T07:26:05.019Z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5d426b731e12…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953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2026-09-04T07:26:17.571Z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aec48dc5c311…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963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2026-09-04T07:26:44.418Z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1615bda583e4…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2026-09-04T07:26:49.988Z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f3488fd18ebb…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PageCipher-integratiestatus: </w:t>
      </w:r>
      <w:r>
        <w:rPr>
          <w:sz w:val="18"/>
          <w:szCs w:val="18"/>
        </w:rPr>
        <w:t xml:space="preserve">Actief (HTTP-koppeling met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17/18 Verankerd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PageCipher-ankerreferentie: </w:t>
      </w:r>
      <w:r>
        <w:rPr>
          <w:sz w:val="18"/>
          <w:szCs w:val="18"/>
        </w:rPr>
        <w:t xml:space="preserve">pagecipher:1e762a21b04d6901a3b0ad1b7f5753bf</w:t>
      </w:r>
    </w:p>
    <w:p>
      <w:pPr>
        <w:spacing w:after="20"/>
      </w:pPr>
      <w:r>
        <w:rPr>
          <w:b/>
          <w:sz w:val="18"/>
          <w:szCs w:val="18"/>
        </w:rPr>
        <w:t xml:space="preserve">Laatste ankerpoging: </w:t>
      </w:r>
      <w:r>
        <w:rPr>
          <w:sz w:val="18"/>
          <w:szCs w:val="18"/>
        </w:rPr>
        <w:t xml:space="preserve">2026-09-04T07:26:49.995Z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Het PageCipher-anker toont de integriteit en herkomst van het bewijs aan — het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Openstaande risico's en hiaten</w:t>
      </w:r>
    </w:p>
    <w:p>
      <w:pPr>
        <w:spacing w:after="60"/>
      </w:pPr>
      <w:r>
        <w:rPr>
          <w:sz w:val="19"/>
          <w:szCs w:val="19"/>
        </w:rPr>
        <w:t xml:space="preserve">Geen openstaande punten vastgelegd.</w:t>
      </w:r>
    </w:p>
    <w:p>
      <w:pPr>
        <w:spacing w:before="160" w:after="60"/>
      </w:pPr>
      <w:r>
        <w:rPr>
          <w:b/>
          <w:sz w:val="30"/>
          <w:szCs w:val="30"/>
        </w:rPr>
        <w:t xml:space="preserve">Juridische kennisgevingen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certificeert geen rechtsconformiteit.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risicoclassificatie is voorlopig en vervangt geen juridische beoordeling.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juridische beoordeling kan een gespecialiseerde juridische toetsing vereisen.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dient ter voorbereiding van governance en compliance op basis van bewijs. Het vormt geen juridisch advies, geen certificering en geen conformiteitsverklaring.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menselijke verantwoordelijkheid blijft verplicht; AI neemt geen automatische beslissingen over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Bijlage</w:t>
      </w:r>
    </w:p>
    <w:p>
      <w:pPr>
        <w:spacing w:before="160" w:after="60"/>
      </w:pPr>
      <w:r>
        <w:rPr>
          <w:b/>
          <w:sz w:val="25"/>
          <w:szCs w:val="25"/>
        </w:rPr>
        <w:t xml:space="preserve">Controlecatalogus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Bron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Toetsing op verboden praktijken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Risicomanagementsysteem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documentatie (nabij Bijlage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Logging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Menselijk toezicht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Nauwkeurigheid, robuustheid, cyberbeveiliging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Rechtmatigheid van de verwerking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Dataminimalisatie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Gegevensbeschermingseffectbeoordeling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Rechten van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Toegangscontrole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Audit-/bewijsketen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Metagegevens van de generatie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2026-09-04T07:39:13.062Z</w:t>
      </w:r>
    </w:p>
    <w:p>
      <w:pPr>
        <w:spacing w:after="20"/>
      </w:pPr>
      <w:r>
        <w:rPr>
          <w:b/>
          <w:sz w:val="18"/>
          <w:szCs w:val="18"/>
        </w:rPr>
        <w:t xml:space="preserve">Versie: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Taaldekking: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1057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