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Informe de gobernanza — Soporte/recomendaciones asistidos por IA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preparación para la gobernanza, apoyo al aseguramiento y evidencia lista para auditoría. Ninguna certificación de conformidad jurídica.</w:t>
      </w:r>
    </w:p>
    <w:p>
      <w:pPr>
        <w:spacing w:after="20"/>
      </w:pPr>
      <w:r>
        <w:rPr>
          <w:b/>
          <w:sz w:val="18"/>
          <w:szCs w:val="18"/>
        </w:rPr>
        <w:t xml:space="preserve">Producto: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Caso de uso: </w:t>
      </w:r>
      <w:r>
        <w:rPr>
          <w:sz w:val="18"/>
          <w:szCs w:val="18"/>
        </w:rPr>
        <w:t xml:space="preserve">uc_cx_f06 (v1)</w:t>
      </w:r>
    </w:p>
    <w:p>
      <w:pPr>
        <w:spacing w:after="20"/>
      </w:pPr>
      <w:r>
        <w:rPr>
          <w:b/>
          <w:sz w:val="18"/>
          <w:szCs w:val="18"/>
        </w:rPr>
        <w:t xml:space="preserve">Sistema fuente: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Idioma: </w:t>
      </w:r>
      <w:r>
        <w:rPr>
          <w:sz w:val="18"/>
          <w:szCs w:val="18"/>
        </w:rPr>
        <w:t xml:space="preserve">ES</w:t>
      </w:r>
    </w:p>
    <w:p>
      <w:pPr>
        <w:spacing w:after="20"/>
      </w:pPr>
      <w:r>
        <w:rPr>
          <w:b/>
          <w:sz w:val="18"/>
          <w:szCs w:val="18"/>
        </w:rPr>
        <w:t xml:space="preserve">Modo de datos: </w:t>
      </w:r>
      <w:r>
        <w:rPr>
          <w:sz w:val="18"/>
          <w:szCs w:val="18"/>
        </w:rPr>
        <w:t xml:space="preserve">sintético</w:t>
      </w:r>
    </w:p>
    <w:p>
      <w:pPr>
        <w:spacing w:after="20"/>
      </w:pPr>
      <w:r>
        <w:rPr>
          <w:b/>
          <w:sz w:val="18"/>
          <w:szCs w:val="18"/>
        </w:rPr>
        <w:t xml:space="preserve">Generado el: </w:t>
      </w:r>
      <w:r>
        <w:rPr>
          <w:sz w:val="18"/>
          <w:szCs w:val="18"/>
        </w:rPr>
        <w:t xml:space="preserve">2026-09-04T05:42:49.701Z</w:t>
      </w:r>
    </w:p>
    <w:p>
      <w:pPr>
        <w:spacing w:after="20"/>
      </w:pPr>
      <w:r>
        <w:rPr>
          <w:b/>
          <w:sz w:val="18"/>
          <w:szCs w:val="18"/>
        </w:rPr>
        <w:t xml:space="preserve">Estado del informe: </w:t>
      </w:r>
      <w:r>
        <w:rPr>
          <w:sz w:val="18"/>
          <w:szCs w:val="18"/>
        </w:rPr>
        <w:t xml:space="preserve">Borrador</w:t>
      </w:r>
    </w:p>
    <w:p>
      <w:pPr>
        <w:spacing w:after="20"/>
      </w:pPr>
      <w:r>
        <w:rPr>
          <w:b/>
          <w:sz w:val="18"/>
          <w:szCs w:val="18"/>
        </w:rPr>
        <w:t xml:space="preserve">Hash de integridad: </w:t>
      </w:r>
      <w:r>
        <w:rPr>
          <w:sz w:val="18"/>
          <w:szCs w:val="18"/>
        </w:rPr>
        <w:t xml:space="preserve">17294435bd6ea777…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informe se basa exclusivamente en datos sintéticos (funcionamiento piloto). Ningún dato personal real.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informe no certifica la conformidad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Resumen para responsables de decisión</w:t>
      </w:r>
    </w:p>
    <w:p>
      <w:pPr>
        <w:spacing w:after="60"/>
      </w:pPr>
      <w:r>
        <w:rPr>
          <w:sz w:val="19"/>
          <w:szCs w:val="19"/>
        </w:rPr>
        <w:t xml:space="preserve">Asistencia para consultas y bloques de recomendación para la tramitación — con etiquetado de IA y escalado a personas.</w:t>
      </w:r>
    </w:p>
    <w:p>
      <w:pPr>
        <w:spacing w:after="20"/>
      </w:pPr>
      <w:r>
        <w:rPr>
          <w:b/>
          <w:sz w:val="18"/>
          <w:szCs w:val="18"/>
        </w:rPr>
        <w:t xml:space="preserve">Finalidad prevista: </w:t>
      </w:r>
      <w:r>
        <w:rPr>
          <w:sz w:val="18"/>
          <w:szCs w:val="18"/>
        </w:rPr>
        <w:t xml:space="preserve">Descarga de trabajo en el soporte — ningún compromiso vinculante por parte de la IA.</w:t>
      </w:r>
    </w:p>
    <w:p>
      <w:pPr>
        <w:spacing w:after="20"/>
      </w:pPr>
      <w:r>
        <w:rPr>
          <w:b/>
          <w:sz w:val="18"/>
          <w:szCs w:val="18"/>
        </w:rPr>
        <w:t xml:space="preserve">Clase de riesgo preliminar: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Supervisión humana requerida: </w:t>
      </w:r>
      <w:r>
        <w:rPr>
          <w:sz w:val="18"/>
          <w:szCs w:val="18"/>
        </w:rPr>
        <w:t xml:space="preserve">No</w:t>
      </w:r>
    </w:p>
    <w:p>
      <w:pPr>
        <w:spacing w:after="20"/>
      </w:pPr>
      <w:r>
        <w:rPr>
          <w:b/>
          <w:sz w:val="18"/>
          <w:szCs w:val="18"/>
        </w:rPr>
        <w:t xml:space="preserve">Preparación para la gobernanza: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preparación para la gobernanza designa el grado de preparación (evidencias disponibles/comprobadas) — no certifica la conformidad.</w:t>
      </w:r>
    </w:p>
    <w:p>
      <w:pPr>
        <w:spacing w:before="160" w:after="60"/>
      </w:pPr>
      <w:r>
        <w:rPr>
          <w:b/>
          <w:sz w:val="30"/>
          <w:szCs w:val="30"/>
        </w:rPr>
        <w:t xml:space="preserve">Perfil del caso de uso</w:t>
      </w:r>
    </w:p>
    <w:p>
      <w:pPr>
        <w:spacing w:after="20"/>
      </w:pPr>
      <w:r>
        <w:rPr>
          <w:b/>
          <w:sz w:val="18"/>
          <w:szCs w:val="18"/>
        </w:rPr>
        <w:t xml:space="preserve">Finalidad prevista: </w:t>
      </w:r>
      <w:r>
        <w:rPr>
          <w:sz w:val="18"/>
          <w:szCs w:val="18"/>
        </w:rPr>
        <w:t xml:space="preserve">Descarga de trabajo en el soporte — ningún compromiso vinculante por parte de la IA.</w:t>
      </w:r>
    </w:p>
    <w:p>
      <w:pPr>
        <w:spacing w:after="20"/>
      </w:pPr>
      <w:r>
        <w:rPr>
          <w:b/>
          <w:sz w:val="18"/>
          <w:szCs w:val="18"/>
        </w:rPr>
        <w:t xml:space="preserve">Grupos de personas afectadas: </w:t>
      </w:r>
      <w:r>
        <w:rPr>
          <w:sz w:val="18"/>
          <w:szCs w:val="18"/>
        </w:rPr>
        <w:t xml:space="preserve">anfragende_personen</w:t>
      </w:r>
    </w:p>
    <w:p>
      <w:pPr>
        <w:spacing w:after="20"/>
      </w:pPr>
      <w:r>
        <w:rPr>
          <w:b/>
          <w:sz w:val="18"/>
          <w:szCs w:val="18"/>
        </w:rPr>
        <w:t xml:space="preserve">Fuentes de datos: </w:t>
      </w:r>
      <w:r>
        <w:rPr>
          <w:sz w:val="18"/>
          <w:szCs w:val="18"/>
        </w:rPr>
        <w:t xml:space="preserve">anfragetexte_synthetisch, wissensbasis</w:t>
      </w:r>
    </w:p>
    <w:p>
      <w:pPr>
        <w:spacing w:after="20"/>
      </w:pPr>
      <w:r>
        <w:rPr>
          <w:b/>
          <w:sz w:val="18"/>
          <w:szCs w:val="18"/>
        </w:rPr>
        <w:t xml:space="preserve">Función de IA: </w:t>
      </w:r>
      <w:r>
        <w:rPr>
          <w:sz w:val="18"/>
          <w:szCs w:val="18"/>
        </w:rPr>
        <w:t xml:space="preserve">generation, recommendation</w:t>
      </w:r>
    </w:p>
    <w:p>
      <w:pPr>
        <w:spacing w:after="20"/>
      </w:pPr>
      <w:r>
        <w:rPr>
          <w:b/>
          <w:sz w:val="18"/>
          <w:szCs w:val="18"/>
        </w:rPr>
        <w:t xml:space="preserve">Impacto potencial: </w:t>
      </w:r>
      <w:r>
        <w:rPr>
          <w:sz w:val="18"/>
          <w:szCs w:val="18"/>
        </w:rPr>
        <w:t xml:space="preserve">operativ</w:t>
      </w:r>
    </w:p>
    <w:p>
      <w:pPr>
        <w:spacing w:after="20"/>
      </w:pPr>
      <w:r>
        <w:rPr>
          <w:b/>
          <w:sz w:val="18"/>
          <w:szCs w:val="18"/>
        </w:rPr>
        <w:t xml:space="preserve">Ámbito jurídico: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Sistema fuente: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Estado del ciclo de vida: </w:t>
      </w:r>
      <w:r>
        <w:rPr>
          <w:sz w:val="18"/>
          <w:szCs w:val="18"/>
        </w:rPr>
        <w:t xml:space="preserve">Borrador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Evaluación de riesgo (preliminar)</w:t>
      </w:r>
    </w:p>
    <w:p>
      <w:pPr>
        <w:spacing w:after="60"/>
      </w:pPr>
      <w:r>
        <w:rPr>
          <w:sz w:val="19"/>
          <w:szCs w:val="19"/>
        </w:rPr>
        <w:t xml:space="preserve">El caso de uso aún no está clasificado — los controles solo están disponibles tras la clasificación de riesgo.</w:t>
      </w:r>
    </w:p>
    <w:p>
      <w:pPr>
        <w:spacing w:before="160" w:after="60"/>
      </w:pPr>
      <w:r>
        <w:rPr>
          <w:b/>
          <w:sz w:val="30"/>
          <w:szCs w:val="30"/>
        </w:rPr>
        <w:t xml:space="preserve">Resumen de políticas y controles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El estado del control documenta la comprobación de las evidencias — no certifica la conformidad.</w:t>
      </w:r>
    </w:p>
    <w:p>
      <w:pPr>
        <w:spacing w:after="60"/>
      </w:pPr>
      <w:r>
        <w:rPr>
          <w:sz w:val="19"/>
          <w:szCs w:val="19"/>
        </w:rPr>
        <w:t xml:space="preserve">El caso de uso aún no está clasificado — los controles solo están disponibles tras la clasificación de riesgo.</w:t>
      </w:r>
    </w:p>
    <w:p>
      <w:pPr>
        <w:spacing w:before="160" w:after="60"/>
      </w:pPr>
      <w:r>
        <w:rPr>
          <w:b/>
          <w:sz w:val="30"/>
          <w:szCs w:val="30"/>
        </w:rPr>
        <w:t xml:space="preserve">Supervisión humana</w:t>
      </w:r>
    </w:p>
    <w:p>
      <w:pPr>
        <w:spacing w:after="20"/>
      </w:pPr>
      <w:r>
        <w:rPr>
          <w:b/>
          <w:sz w:val="18"/>
          <w:szCs w:val="18"/>
        </w:rPr>
        <w:t xml:space="preserve">Persona responsable: </w:t>
      </w:r>
      <w:r>
        <w:rPr>
          <w:sz w:val="18"/>
          <w:szCs w:val="18"/>
        </w:rPr>
        <w:t xml:space="preserve">Asignación de supervisión pendiente — antes de la aprobación debe designarse a un final responsible human.</w:t>
      </w:r>
    </w:p>
    <w:p>
      <w:pPr>
        <w:spacing w:after="20"/>
      </w:pPr>
      <w:r>
        <w:rPr>
          <w:b/>
          <w:sz w:val="18"/>
          <w:szCs w:val="18"/>
        </w:rPr>
        <w:t xml:space="preserve">Persona revisora: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responsabilidad humana sigue siendo obligatoria; la IA no toma decisiones automáticas sobre personas.</w:t>
      </w:r>
    </w:p>
    <w:p>
      <w:pPr>
        <w:spacing w:before="160" w:after="60"/>
      </w:pPr>
      <w:r>
        <w:rPr>
          <w:b/>
          <w:sz w:val="25"/>
          <w:szCs w:val="25"/>
        </w:rPr>
        <w:t xml:space="preserve">Historial de revisiones</w:t>
      </w:r>
    </w:p>
    <w:p>
      <w:pPr>
        <w:spacing w:after="60"/>
      </w:pPr>
      <w:r>
        <w:rPr>
          <w:sz w:val="19"/>
          <w:szCs w:val="19"/>
        </w:rPr>
        <w:t xml:space="preserve">Todavía no se han registrado decisiones de revisión.</w:t>
      </w:r>
    </w:p>
    <w:p>
      <w:pPr>
        <w:spacing w:before="160" w:after="60"/>
      </w:pPr>
      <w:r>
        <w:rPr>
          <w:b/>
          <w:sz w:val="30"/>
          <w:szCs w:val="30"/>
        </w:rPr>
        <w:t xml:space="preserve">Resumen de evidencias</w:t>
      </w:r>
    </w:p>
    <w:p>
      <w:pPr>
        <w:spacing w:after="20"/>
      </w:pPr>
      <w:r>
        <w:rPr>
          <w:b/>
          <w:sz w:val="18"/>
          <w:szCs w:val="18"/>
        </w:rPr>
        <w:t xml:space="preserve">Estado de la cadena de evidencias: </w:t>
      </w:r>
      <w:r>
        <w:rPr>
          <w:sz w:val="18"/>
          <w:szCs w:val="18"/>
        </w:rPr>
        <w:t xml:space="preserve">inválida (sospecha de manipulación)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evidencia: </w:t>
      </w:r>
      <w:r>
        <w:rPr>
          <w:sz w:val="18"/>
          <w:szCs w:val="18"/>
        </w:rPr>
        <w:t xml:space="preserve">3</w:t>
      </w:r>
    </w:p>
    <w:p>
      <w:pPr>
        <w:spacing w:after="20"/>
      </w:pPr>
      <w:r>
        <w:rPr>
          <w:b/>
          <w:sz w:val="18"/>
          <w:szCs w:val="18"/>
        </w:rPr>
        <w:t xml:space="preserve">Verificación superada: </w:t>
      </w:r>
      <w:r>
        <w:rPr>
          <w:sz w:val="18"/>
          <w:szCs w:val="18"/>
        </w:rPr>
        <w:t xml:space="preserve">No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Anclaje simulado (integración con PageCipher pendiente) — identificado como simulación.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Marca de tiempo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Acción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2026-07-10T11:52:53.658Z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actor_lilli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use_case.drafted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0b1a68962967…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690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2026-09-04T04:53:38.489Z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482455eb4dcd…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728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2026-09-04T05:42:44.938Z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19cde699040e…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Estado del ancla PageCipher</w:t>
      </w:r>
    </w:p>
    <w:p>
      <w:pPr>
        <w:spacing w:after="20"/>
      </w:pPr>
      <w:r>
        <w:rPr>
          <w:b/>
          <w:sz w:val="18"/>
          <w:szCs w:val="18"/>
        </w:rPr>
        <w:t xml:space="preserve">Estado de integración de PageCipher: </w:t>
      </w:r>
      <w:r>
        <w:rPr>
          <w:sz w:val="18"/>
          <w:szCs w:val="18"/>
        </w:rPr>
        <w:t xml:space="preserve">Activo (conexión HTTP con PageCipher)</w:t>
      </w:r>
    </w:p>
    <w:p>
      <w:pPr>
        <w:spacing w:after="20"/>
      </w:pPr>
      <w:r>
        <w:rPr>
          <w:b/>
          <w:sz w:val="18"/>
          <w:szCs w:val="18"/>
        </w:rPr>
        <w:t xml:space="preserve">Estado del ancla PageCipher: </w:t>
      </w:r>
      <w:r>
        <w:rPr>
          <w:sz w:val="18"/>
          <w:szCs w:val="18"/>
        </w:rPr>
        <w:t xml:space="preserve">2/3 Anclado</w:t>
      </w:r>
    </w:p>
    <w:p>
      <w:pPr>
        <w:spacing w:after="20"/>
      </w:pPr>
      <w:r>
        <w:rPr>
          <w:b/>
          <w:sz w:val="18"/>
          <w:szCs w:val="18"/>
        </w:rPr>
        <w:t xml:space="preserve">Referencia del ancla PageCipher: </w:t>
      </w:r>
      <w:r>
        <w:rPr>
          <w:sz w:val="18"/>
          <w:szCs w:val="18"/>
        </w:rPr>
        <w:t xml:space="preserve">pagecipher:39f6c2564b39ad07d8dc2c5807227f6a</w:t>
      </w:r>
    </w:p>
    <w:p>
      <w:pPr>
        <w:spacing w:after="20"/>
      </w:pPr>
      <w:r>
        <w:rPr>
          <w:b/>
          <w:sz w:val="18"/>
          <w:szCs w:val="18"/>
        </w:rPr>
        <w:t xml:space="preserve">Último intento de anclaje: </w:t>
      </w:r>
      <w:r>
        <w:rPr>
          <w:sz w:val="18"/>
          <w:szCs w:val="18"/>
        </w:rPr>
        <w:t xml:space="preserve">2026-09-04T05:42:44.942Z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El ancla PageCipher acredita la integridad y la procedencia de la evidencia — no certifica la conformidad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Riesgos y lagunas abiertos</w:t>
      </w:r>
    </w:p>
    <w:p>
      <w:pPr>
        <w:spacing w:after="60"/>
      </w:pPr>
      <w:r>
        <w:rPr>
          <w:sz w:val="19"/>
          <w:szCs w:val="19"/>
        </w:rPr>
        <w:t xml:space="preserve">No se han registrado puntos abiertos.</w:t>
      </w:r>
    </w:p>
    <w:p>
      <w:pPr>
        <w:spacing w:before="160" w:after="60"/>
      </w:pPr>
      <w:r>
        <w:rPr>
          <w:b/>
          <w:sz w:val="30"/>
          <w:szCs w:val="30"/>
        </w:rPr>
        <w:t xml:space="preserve">Aviso legal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informe no certifica la conformidad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clasificación de riesgo es preliminar y no sustituye una evaluación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evaluación jurídica puede requerir una revisión jurídica especializada.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informe sirve para la preparación de la gobernanza y el cumplimiento sobre una base de evidencias. No constituye asesoramiento jurídico, certificación ni certificado de conformidad.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responsabilidad humana sigue siendo obligatoria; la IA no toma decisiones automáticas sobre personas.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Anexo</w:t>
      </w:r>
    </w:p>
    <w:p>
      <w:pPr>
        <w:spacing w:before="160" w:after="60"/>
      </w:pPr>
      <w:r>
        <w:rPr>
          <w:b/>
          <w:sz w:val="25"/>
          <w:szCs w:val="25"/>
        </w:rPr>
        <w:t xml:space="preserve">Catálogo de controles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Fuente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Referencia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Comprobación de prácticas prohibidas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Sistema de gestión de riesgos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Gobernanza de datos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Documentación técnica (cercana al Anexo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Registro de eventos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Transparencia y etiquetado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Supervisión humana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Precisión, robustez, ciberseguridad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Licitud del tratamiento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Minimización de datos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Evaluación de impacto relativa a la protección de datos (EIPD)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Derechos de los interesados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Monitorización de sesgos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Competencia en IA de las personas implicadas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 de acceso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Cadena de auditoría/evidencias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Metadatos de generación</w:t>
      </w:r>
    </w:p>
    <w:p>
      <w:pPr>
        <w:spacing w:after="20"/>
      </w:pPr>
      <w:r>
        <w:rPr>
          <w:b/>
          <w:sz w:val="18"/>
          <w:szCs w:val="18"/>
        </w:rPr>
        <w:t xml:space="preserve">Generado el: </w:t>
      </w:r>
      <w:r>
        <w:rPr>
          <w:sz w:val="18"/>
          <w:szCs w:val="18"/>
        </w:rPr>
        <w:t xml:space="preserve">2026-09-04T05:42:49.701Z</w:t>
      </w:r>
    </w:p>
    <w:p>
      <w:pPr>
        <w:spacing w:after="20"/>
      </w:pPr>
      <w:r>
        <w:rPr>
          <w:b/>
          <w:sz w:val="18"/>
          <w:szCs w:val="18"/>
        </w:rPr>
        <w:t xml:space="preserve">Versión: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Cobertura lingüística: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evidencia: </w:t>
      </w:r>
      <w:r>
        <w:rPr>
          <w:sz w:val="18"/>
          <w:szCs w:val="18"/>
        </w:rPr>
        <w:t xml:space="preserve">729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