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Rapport de gouvernance — Support / recommandations assistés par 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préparation à la gouvernance, appui à l'assurance et preuves prêtes pour l'audit.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 d'usage: </w:t>
      </w:r>
      <w:r>
        <w:rPr>
          <w:sz w:val="18"/>
          <w:szCs w:val="18"/>
        </w:rPr>
        <w:t xml:space="preserve">uc_cx_f06 (v1)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2026-09-04T07:32:13.965Z</w:t>
      </w:r>
    </w:p>
    <w:p>
      <w:pPr>
        <w:spacing w:after="20"/>
      </w:pPr>
      <w:r>
        <w:rPr>
          <w:b/>
          <w:sz w:val="18"/>
          <w:szCs w:val="18"/>
        </w:rPr>
        <w:t xml:space="preserve">État du rapport: </w:t>
      </w:r>
      <w:r>
        <w:rPr>
          <w:sz w:val="18"/>
          <w:szCs w:val="18"/>
        </w:rPr>
        <w:t xml:space="preserve">Brouillon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bb7fac1080f34188…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repose exclusivement sur des données synthétiques (exploitation pilote). Aucune donnée personnelle réelle.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pour les décideurs</w:t>
      </w:r>
    </w:p>
    <w:p>
      <w:pPr>
        <w:spacing w:after="60"/>
      </w:pPr>
      <w:r>
        <w:rPr>
          <w:sz w:val="19"/>
          <w:szCs w:val="19"/>
        </w:rPr>
        <w:t xml:space="preserve">Assistance aux demandes et modules de recommandation pour le traitement des dossiers — avec marquage IA et escalade vers un humain.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Allègement du support — aucun engagement contraignant par l'IA.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requise: </w:t>
      </w:r>
      <w:r>
        <w:rPr>
          <w:sz w:val="18"/>
          <w:szCs w:val="18"/>
        </w:rPr>
        <w:t xml:space="preserve">Non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préparation à la gouvernance désigne le degré de préparation (preuves disponibles/examinées) — elle ne certifie aucune conformité.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 du cas d'usage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Allègement du support — aucun engagement contraignant par l'IA.</w:t>
      </w:r>
    </w:p>
    <w:p>
      <w:pPr>
        <w:spacing w:after="20"/>
      </w:pPr>
      <w:r>
        <w:rPr>
          <w:b/>
          <w:sz w:val="18"/>
          <w:szCs w:val="18"/>
        </w:rPr>
        <w:t xml:space="preserve">Groupes de personnes concernées: </w:t>
      </w:r>
      <w:r>
        <w:rPr>
          <w:sz w:val="18"/>
          <w:szCs w:val="18"/>
        </w:rPr>
        <w:t xml:space="preserve">anfragende_personen</w:t>
      </w:r>
    </w:p>
    <w:p>
      <w:pPr>
        <w:spacing w:after="20"/>
      </w:pPr>
      <w:r>
        <w:rPr>
          <w:b/>
          <w:sz w:val="18"/>
          <w:szCs w:val="18"/>
        </w:rPr>
        <w:t xml:space="preserve">Sources de données: </w:t>
      </w:r>
      <w:r>
        <w:rPr>
          <w:sz w:val="18"/>
          <w:szCs w:val="18"/>
        </w:rPr>
        <w:t xml:space="preserve">anfragetexte_synthetisch, wissensbasis</w:t>
      </w:r>
    </w:p>
    <w:p>
      <w:pPr>
        <w:spacing w:after="20"/>
      </w:pPr>
      <w:r>
        <w:rPr>
          <w:b/>
          <w:sz w:val="18"/>
          <w:szCs w:val="18"/>
        </w:rPr>
        <w:t xml:space="preserve">Fonction IA: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Impacts possibles: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Espace juridique: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État du cycle de vie: </w:t>
      </w:r>
      <w:r>
        <w:rPr>
          <w:sz w:val="18"/>
          <w:szCs w:val="18"/>
        </w:rPr>
        <w:t xml:space="preserve">Brouillon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Évaluation des risques (préliminaire)</w:t>
      </w:r>
    </w:p>
    <w:p>
      <w:pPr>
        <w:spacing w:after="60"/>
      </w:pPr>
      <w:r>
        <w:rPr>
          <w:sz w:val="19"/>
          <w:szCs w:val="19"/>
        </w:rPr>
        <w:t xml:space="preserve">Le cas d'usage n'est pas encore classé — les contrôles ne sont disponibles qu'après la classification de risque.</w:t>
      </w:r>
    </w:p>
    <w:p>
      <w:pPr>
        <w:spacing w:before="160" w:after="60"/>
      </w:pPr>
      <w:r>
        <w:rPr>
          <w:b/>
          <w:sz w:val="30"/>
          <w:szCs w:val="30"/>
        </w:rPr>
        <w:t xml:space="preserve">Aperçu des politiques et des contrôles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L'état du contrôle documente l'examen des preuves — il ne certifie aucune conformité.</w:t>
      </w:r>
    </w:p>
    <w:p>
      <w:pPr>
        <w:spacing w:after="60"/>
      </w:pPr>
      <w:r>
        <w:rPr>
          <w:sz w:val="19"/>
          <w:szCs w:val="19"/>
        </w:rPr>
        <w:t xml:space="preserve">Le cas d'usage n'est pas encore classé — les contrôles ne sont disponibles qu'après la classification de risque.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Supervision humaine</w:t>
      </w:r>
    </w:p>
    <w:p>
      <w:pPr>
        <w:spacing w:after="20"/>
      </w:pPr>
      <w:r>
        <w:rPr>
          <w:b/>
          <w:sz w:val="18"/>
          <w:szCs w:val="18"/>
        </w:rPr>
        <w:t xml:space="preserve">Humain responsable: </w:t>
      </w:r>
      <w:r>
        <w:rPr>
          <w:sz w:val="18"/>
          <w:szCs w:val="18"/>
        </w:rPr>
        <w:t xml:space="preserve">Attribution de la supervision en attente — un final responsible human doit être désigné avant l'approbation.</w:t>
      </w:r>
    </w:p>
    <w:p>
      <w:pPr>
        <w:spacing w:after="20"/>
      </w:pPr>
      <w:r>
        <w:rPr>
          <w:b/>
          <w:sz w:val="18"/>
          <w:szCs w:val="18"/>
        </w:rPr>
        <w:t xml:space="preserve">Personne chargée de la vérification: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Historique des examens</w:t>
      </w:r>
    </w:p>
    <w:p>
      <w:pPr>
        <w:spacing w:after="60"/>
      </w:pPr>
      <w:r>
        <w:rPr>
          <w:sz w:val="19"/>
          <w:szCs w:val="19"/>
        </w:rPr>
        <w:t xml:space="preserve">Aucune décision d'examen encore enregistrée.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des preuves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20</w:t>
      </w:r>
    </w:p>
    <w:p>
      <w:pPr>
        <w:spacing w:after="20"/>
      </w:pPr>
      <w:r>
        <w:rPr>
          <w:b/>
          <w:sz w:val="18"/>
          <w:szCs w:val="18"/>
        </w:rPr>
        <w:t xml:space="preserve">Vérification réussie: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Acteur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2026-09-04T07:25:00.853Z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875373c850be…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2026-09-04T07:25:02.266Z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8ea544e5b151…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2026-09-04T07:25:02.458Z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c69f634aa5fe…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2026-09-04T07:25:09.376Z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293f0effe114…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2026-09-04T07:25:53.898Z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0333e4011c8e…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2026-09-04T07:25:53.979Z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54566c70fdfc…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2026-09-04T07:25:58.931Z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9d58123a2cd0…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2026-09-04T07:25:59.019Z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12ae460491ca…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2026-09-04T07:25:59.054Z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83148df5815f…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2026-09-04T07:25:59.205Z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c8caf63a8390…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2026-09-04T07:26:05.057Z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bd8858db3c02…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2026-09-04T07:26:17.445Z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3b79aa144039…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2026-09-04T07:26:44.275Z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3ee2c9caeed7…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2026-09-04T07:32:13.930Z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c10a1de868b5…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État de l'ancre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État de l'ancre PageCipher: </w:t>
      </w:r>
      <w:r>
        <w:rPr>
          <w:sz w:val="18"/>
          <w:szCs w:val="18"/>
        </w:rPr>
        <w:t xml:space="preserve">18/20 Ancré</w:t>
      </w:r>
    </w:p>
    <w:p>
      <w:pPr>
        <w:spacing w:after="20"/>
      </w:pPr>
      <w:r>
        <w:rPr>
          <w:b/>
          <w:sz w:val="18"/>
          <w:szCs w:val="18"/>
        </w:rPr>
        <w:t xml:space="preserve">Référence de l'ancre PageCipher: </w:t>
      </w:r>
      <w:r>
        <w:rPr>
          <w:sz w:val="18"/>
          <w:szCs w:val="18"/>
        </w:rPr>
        <w:t xml:space="preserve">pagecipher:39f6c2564b39ad07d8dc2c5807227f6a</w:t>
      </w:r>
    </w:p>
    <w:p>
      <w:pPr>
        <w:spacing w:after="20"/>
      </w:pPr>
      <w:r>
        <w:rPr>
          <w:b/>
          <w:sz w:val="18"/>
          <w:szCs w:val="18"/>
        </w:rPr>
        <w:t xml:space="preserve">Dernière tentative d'ancrage: </w:t>
      </w:r>
      <w:r>
        <w:rPr>
          <w:sz w:val="18"/>
          <w:szCs w:val="18"/>
        </w:rPr>
        <w:t xml:space="preserve">2026-09-04T07:32:13.939Z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Risques et lacunes ouverts</w:t>
      </w:r>
    </w:p>
    <w:p>
      <w:pPr>
        <w:spacing w:after="60"/>
      </w:pPr>
      <w:r>
        <w:rPr>
          <w:sz w:val="19"/>
          <w:szCs w:val="19"/>
        </w:rPr>
        <w:t xml:space="preserve">Aucun point ouvert enregistré.</w:t>
      </w: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classification de risque est préliminaire et ne remplace pas une appréciation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Annexe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Catalogue des contrôles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Surveillance des biais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Métadonnées de génération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2026-09-04T07:32:13.965Z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Couverture linguistique: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1036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