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60"/>
      </w:pPr>
      <w:r>
        <w:rPr>
          <w:b/>
          <w:sz w:val="44"/>
          <w:szCs w:val="44"/>
        </w:rPr>
        <w:t xml:space="preserve">Governance-Report — DiaLekt X — KI-Kommunikationsassistent</w:t>
      </w:r>
    </w:p>
    <w:p>
      <w:pPr>
        <w:spacing w:after="80"/>
      </w:pPr>
      <w:r>
        <w:rPr>
          <w:sz w:val="20"/>
          <w:szCs w:val="20"/>
          <w:color w:val="6B7280"/>
        </w:rPr>
        <w:t xml:space="preserve">HumanOSE — Governance-Vorbereitung, Assurance-Unterstützung und audit-ready Evidenz. Keine Rechtskonformitäts-Bescheinigung.</w:t>
      </w:r>
    </w:p>
    <w:p>
      <w:pPr>
        <w:spacing w:after="20"/>
      </w:pPr>
      <w:r>
        <w:rPr>
          <w:b/>
          <w:sz w:val="18"/>
          <w:szCs w:val="18"/>
        </w:rPr>
        <w:t xml:space="preserve">Produkt: </w:t>
      </w:r>
      <w:r>
        <w:rPr>
          <w:sz w:val="18"/>
          <w:szCs w:val="18"/>
        </w:rPr>
        <w:t xml:space="preserve">HumanOSE</w:t>
      </w:r>
    </w:p>
    <w:p>
      <w:pPr>
        <w:spacing w:after="20"/>
      </w:pPr>
      <w:r>
        <w:rPr>
          <w:b/>
          <w:sz w:val="18"/>
          <w:szCs w:val="18"/>
        </w:rPr>
        <w:t xml:space="preserve">Use Case: </w:t>
      </w:r>
      <w:r>
        <w:rPr>
          <w:sz w:val="18"/>
          <w:szCs w:val="18"/>
        </w:rPr>
        <w:t xml:space="preserve">uc_dlx_001 (v1)</w:t>
      </w:r>
    </w:p>
    <w:p>
      <w:pPr>
        <w:spacing w:after="20"/>
      </w:pPr>
      <w:r>
        <w:rPr>
          <w:b/>
          <w:sz w:val="18"/>
          <w:szCs w:val="18"/>
        </w:rPr>
        <w:t xml:space="preserve">Quellsystem: </w:t>
      </w:r>
      <w:r>
        <w:rPr>
          <w:sz w:val="18"/>
          <w:szCs w:val="18"/>
        </w:rPr>
        <w:t xml:space="preserve">dialekt-x</w:t>
      </w:r>
    </w:p>
    <w:p>
      <w:pPr>
        <w:spacing w:after="20"/>
      </w:pPr>
      <w:r>
        <w:rPr>
          <w:b/>
          <w:sz w:val="18"/>
          <w:szCs w:val="18"/>
        </w:rPr>
        <w:t xml:space="preserve">Sprache: </w:t>
      </w:r>
      <w:r>
        <w:rPr>
          <w:sz w:val="18"/>
          <w:szCs w:val="18"/>
        </w:rPr>
        <w:t xml:space="preserve">DE</w:t>
      </w:r>
    </w:p>
    <w:p>
      <w:pPr>
        <w:spacing w:after="20"/>
      </w:pPr>
      <w:r>
        <w:rPr>
          <w:b/>
          <w:sz w:val="18"/>
          <w:szCs w:val="18"/>
        </w:rPr>
        <w:t xml:space="preserve">Datenmodus: </w:t>
      </w:r>
      <w:r>
        <w:rPr>
          <w:sz w:val="18"/>
          <w:szCs w:val="18"/>
        </w:rPr>
        <w:t xml:space="preserve">synthetisch</w:t>
      </w:r>
    </w:p>
    <w:p>
      <w:pPr>
        <w:spacing w:after="20"/>
      </w:pPr>
      <w:r>
        <w:rPr>
          <w:b/>
          <w:sz w:val="18"/>
          <w:szCs w:val="18"/>
        </w:rPr>
        <w:t xml:space="preserve">Erstellt am: </w:t>
      </w:r>
      <w:r>
        <w:rPr>
          <w:sz w:val="18"/>
          <w:szCs w:val="18"/>
        </w:rPr>
        <w:t xml:space="preserve">2026-09-04T04:54:56.425Z</w:t>
      </w:r>
    </w:p>
    <w:p>
      <w:pPr>
        <w:spacing w:after="20"/>
      </w:pPr>
      <w:r>
        <w:rPr>
          <w:b/>
          <w:sz w:val="18"/>
          <w:szCs w:val="18"/>
        </w:rPr>
        <w:t xml:space="preserve">Report-Status: </w:t>
      </w:r>
      <w:r>
        <w:rPr>
          <w:sz w:val="18"/>
          <w:szCs w:val="18"/>
        </w:rPr>
        <w:t xml:space="preserve">Vorläufig klassifiziert</w:t>
      </w:r>
    </w:p>
    <w:p>
      <w:pPr>
        <w:spacing w:after="20"/>
      </w:pPr>
      <w:r>
        <w:rPr>
          <w:b/>
          <w:sz w:val="18"/>
          <w:szCs w:val="18"/>
        </w:rPr>
        <w:t xml:space="preserve">Integritäts-Hash: </w:t>
      </w:r>
      <w:r>
        <w:rPr>
          <w:sz w:val="18"/>
          <w:szCs w:val="18"/>
        </w:rPr>
        <w:t xml:space="preserve">22926bdaad1a28e7…</w:t>
      </w:r>
    </w:p>
    <w:p>
      <w:pPr>
        <w:spacing w:after="6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Dieser Report basiert ausschließlich auf synthetischen Daten (Pilotbetrieb). Keine echten personenbezogenen Daten.</w:t>
      </w: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Dieser Report bescheinigt keine Rechtskonformität.</w:t>
      </w:r>
    </w:p>
    <w:p>
      <w:pPr>
        <w:spacing w:before="160" w:after="60"/>
      </w:pPr>
      <w:r>
        <w:rPr>
          <w:b/>
          <w:sz w:val="30"/>
          <w:szCs w:val="30"/>
        </w:rPr>
        <w:t xml:space="preserve">Zusammenfassung für Entscheider</w:t>
      </w:r>
    </w:p>
    <w:p>
      <w:pPr>
        <w:spacing w:after="60"/>
      </w:pPr>
      <w:r>
        <w:rPr>
          <w:sz w:val="19"/>
          <w:szCs w:val="19"/>
        </w:rPr>
        <w:t xml:space="preserve">KI-gestützte Formulierungs- und Kommunikationsassistenz — synthetischer Governance-Kandidat mit Transparenz-/Kennzeichnungspflicht.</w:t>
      </w:r>
    </w:p>
    <w:p>
      <w:pPr>
        <w:spacing w:after="20"/>
      </w:pPr>
      <w:r>
        <w:rPr>
          <w:b/>
          <w:sz w:val="18"/>
          <w:szCs w:val="18"/>
        </w:rPr>
        <w:t xml:space="preserve">Zweckbestimmung: </w:t>
      </w:r>
      <w:r>
        <w:rPr>
          <w:sz w:val="18"/>
          <w:szCs w:val="18"/>
        </w:rPr>
        <w:t xml:space="preserve">Unterstützung bei Kommunikation und Formulierung mit KI-Kennzeichnung — keine verbindlichen Zusagen durch KI.</w:t>
      </w:r>
    </w:p>
    <w:p>
      <w:pPr>
        <w:spacing w:after="20"/>
      </w:pPr>
      <w:r>
        <w:rPr>
          <w:b/>
          <w:sz w:val="18"/>
          <w:szCs w:val="18"/>
        </w:rPr>
        <w:t xml:space="preserve">Vorläufige Risikoklasse: </w:t>
      </w:r>
      <w:r>
        <w:rPr>
          <w:sz w:val="18"/>
          <w:szCs w:val="18"/>
        </w:rPr>
        <w:t xml:space="preserve">Begrenztes Risiko — Transparenzpflichten prüfen</w:t>
      </w:r>
    </w:p>
    <w:p>
      <w:pPr>
        <w:spacing w:after="20"/>
      </w:pPr>
      <w:r>
        <w:rPr>
          <w:b/>
          <w:sz w:val="18"/>
          <w:szCs w:val="18"/>
        </w:rPr>
        <w:t xml:space="preserve">Menschliche Aufsicht erforderlich: </w:t>
      </w:r>
      <w:r>
        <w:rPr>
          <w:sz w:val="18"/>
          <w:szCs w:val="18"/>
        </w:rPr>
        <w:t xml:space="preserve">Nein</w:t>
      </w:r>
    </w:p>
    <w:p>
      <w:pPr>
        <w:spacing w:after="20"/>
      </w:pPr>
      <w:r>
        <w:rPr>
          <w:b/>
          <w:sz w:val="18"/>
          <w:szCs w:val="18"/>
        </w:rPr>
        <w:t xml:space="preserve">Governance Readiness: </w:t>
      </w:r>
      <w:r>
        <w:rPr>
          <w:sz w:val="18"/>
          <w:szCs w:val="18"/>
        </w:rPr>
        <w:t xml:space="preserve">1/2 Kontrollen mit Nachweis/geprüft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Governance Readiness bezeichnet den Vorbereitungsgrad (Nachweise vorhanden/geprüft) — sie bescheinigt keine Konformität.</w:t>
      </w:r>
    </w:p>
    <w:p>
      <w:pPr>
        <w:spacing w:before="160" w:after="60"/>
      </w:pPr>
      <w:r>
        <w:rPr>
          <w:b/>
          <w:sz w:val="30"/>
          <w:szCs w:val="30"/>
        </w:rPr>
        <w:t xml:space="preserve">Use-Case-Profil</w:t>
      </w:r>
    </w:p>
    <w:p>
      <w:pPr>
        <w:spacing w:after="20"/>
      </w:pPr>
      <w:r>
        <w:rPr>
          <w:b/>
          <w:sz w:val="18"/>
          <w:szCs w:val="18"/>
        </w:rPr>
        <w:t xml:space="preserve">Zweckbestimmung: </w:t>
      </w:r>
      <w:r>
        <w:rPr>
          <w:sz w:val="18"/>
          <w:szCs w:val="18"/>
        </w:rPr>
        <w:t xml:space="preserve">Unterstützung bei Kommunikation und Formulierung mit KI-Kennzeichnung — keine verbindlichen Zusagen durch KI.</w:t>
      </w:r>
    </w:p>
    <w:p>
      <w:pPr>
        <w:spacing w:after="20"/>
      </w:pPr>
      <w:r>
        <w:rPr>
          <w:b/>
          <w:sz w:val="18"/>
          <w:szCs w:val="18"/>
        </w:rPr>
        <w:t xml:space="preserve">Betroffene Personengruppen: </w:t>
      </w:r>
      <w:r>
        <w:rPr>
          <w:sz w:val="18"/>
          <w:szCs w:val="18"/>
        </w:rPr>
        <w:t xml:space="preserve">kommunizierende_personen</w:t>
      </w:r>
    </w:p>
    <w:p>
      <w:pPr>
        <w:spacing w:after="20"/>
      </w:pPr>
      <w:r>
        <w:rPr>
          <w:b/>
          <w:sz w:val="18"/>
          <w:szCs w:val="18"/>
        </w:rPr>
        <w:t xml:space="preserve">Datenquellen: </w:t>
      </w:r>
      <w:r>
        <w:rPr>
          <w:sz w:val="18"/>
          <w:szCs w:val="18"/>
        </w:rPr>
        <w:t xml:space="preserve">kommunikationstexte_synthetisch</w:t>
      </w:r>
    </w:p>
    <w:p>
      <w:pPr>
        <w:spacing w:after="20"/>
      </w:pPr>
      <w:r>
        <w:rPr>
          <w:b/>
          <w:sz w:val="18"/>
          <w:szCs w:val="18"/>
        </w:rPr>
        <w:t xml:space="preserve">KI-Funktion: </w:t>
      </w:r>
      <w:r>
        <w:rPr>
          <w:sz w:val="18"/>
          <w:szCs w:val="18"/>
        </w:rPr>
        <w:t xml:space="preserve">generation, recommendation</w:t>
      </w:r>
    </w:p>
    <w:p>
      <w:pPr>
        <w:spacing w:after="20"/>
      </w:pPr>
      <w:r>
        <w:rPr>
          <w:b/>
          <w:sz w:val="18"/>
          <w:szCs w:val="18"/>
        </w:rPr>
        <w:t xml:space="preserve">Mögliche Auswirkungen: </w:t>
      </w:r>
      <w:r>
        <w:rPr>
          <w:sz w:val="18"/>
          <w:szCs w:val="18"/>
        </w:rPr>
        <w:t xml:space="preserve">operativ, transparenzpflicht</w:t>
      </w:r>
    </w:p>
    <w:p>
      <w:pPr>
        <w:spacing w:after="20"/>
      </w:pPr>
      <w:r>
        <w:rPr>
          <w:b/>
          <w:sz w:val="18"/>
          <w:szCs w:val="18"/>
        </w:rPr>
        <w:t xml:space="preserve">Rechtsraum: </w:t>
      </w:r>
      <w:r>
        <w:rPr>
          <w:sz w:val="18"/>
          <w:szCs w:val="18"/>
        </w:rPr>
        <w:t xml:space="preserve">eu-de</w:t>
      </w:r>
    </w:p>
    <w:p>
      <w:pPr>
        <w:spacing w:after="20"/>
      </w:pPr>
      <w:r>
        <w:rPr>
          <w:b/>
          <w:sz w:val="18"/>
          <w:szCs w:val="18"/>
        </w:rPr>
        <w:t xml:space="preserve">Quellsystem: </w:t>
      </w:r>
      <w:r>
        <w:rPr>
          <w:sz w:val="18"/>
          <w:szCs w:val="18"/>
        </w:rPr>
        <w:t xml:space="preserve">dialekt-x</w:t>
      </w:r>
    </w:p>
    <w:p>
      <w:pPr>
        <w:spacing w:after="20"/>
      </w:pPr>
      <w:r>
        <w:rPr>
          <w:b/>
          <w:sz w:val="18"/>
          <w:szCs w:val="18"/>
        </w:rPr>
        <w:t xml:space="preserve">Lebenszyklus-Status: </w:t>
      </w:r>
      <w:r>
        <w:rPr>
          <w:sz w:val="18"/>
          <w:szCs w:val="18"/>
        </w:rPr>
        <w:t xml:space="preserve">Vorläufig klassifiziert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Risikobewertung (vorläufig)</w:t>
      </w:r>
    </w:p>
    <w:p>
      <w:pPr>
        <w:spacing w:after="20"/>
      </w:pPr>
      <w:r>
        <w:rPr>
          <w:b/>
          <w:sz w:val="18"/>
          <w:szCs w:val="18"/>
        </w:rPr>
        <w:t xml:space="preserve">Vorläufige Risikoklasse: </w:t>
      </w:r>
      <w:r>
        <w:rPr>
          <w:sz w:val="18"/>
          <w:szCs w:val="18"/>
        </w:rPr>
        <w:t xml:space="preserve">Begrenztes Risiko — Transparenzpflichten prüfen</w:t>
      </w:r>
    </w:p>
    <w:p>
      <w:pPr>
        <w:spacing w:after="20"/>
      </w:pPr>
      <w:r>
        <w:rPr>
          <w:b/>
          <w:sz w:val="18"/>
          <w:szCs w:val="18"/>
        </w:rPr>
        <w:t xml:space="preserve">Konfidenz der Einschätzung: </w:t>
      </w:r>
      <w:r>
        <w:rPr>
          <w:sz w:val="18"/>
          <w:szCs w:val="18"/>
        </w:rPr>
        <w:t xml:space="preserve">high</w:t>
      </w:r>
    </w:p>
    <w:p>
      <w:pPr>
        <w:spacing w:after="20"/>
      </w:pPr>
      <w:r>
        <w:rPr>
          <w:b/>
          <w:sz w:val="18"/>
          <w:szCs w:val="18"/>
        </w:rPr>
        <w:t xml:space="preserve">Regelset: </w:t>
      </w:r>
      <w:r>
        <w:rPr>
          <w:sz w:val="18"/>
          <w:szCs w:val="18"/>
        </w:rPr>
        <w:t xml:space="preserve">v0.1.0</w:t>
      </w:r>
    </w:p>
    <w:p>
      <w:pPr>
        <w:spacing w:after="20"/>
      </w:pPr>
      <w:r>
        <w:rPr>
          <w:b/>
          <w:sz w:val="18"/>
          <w:szCs w:val="18"/>
        </w:rPr>
        <w:t xml:space="preserve">Menschliche Prüfung erforderlich: </w:t>
      </w:r>
      <w:r>
        <w:rPr>
          <w:sz w:val="18"/>
          <w:szCs w:val="18"/>
        </w:rPr>
        <w:t xml:space="preserve">Nein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Die Risikoklassifikation ist vorläufig und ersetzt keine rechtliche Bewertung.</w:t>
      </w:r>
    </w:p>
    <w:p>
      <w:pPr>
        <w:spacing w:before="160" w:after="60"/>
      </w:pPr>
      <w:r>
        <w:rPr>
          <w:b/>
          <w:sz w:val="25"/>
          <w:szCs w:val="25"/>
        </w:rPr>
        <w:t xml:space="preserve">Begründung (Regelbezug)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R-LIM-TRANSPARENCY-01 — Generierende oder empfehlende KI-Funktion — Transparenz- und Kennzeichnungspflichten sind zu prüfen.</w:t>
      </w:r>
    </w:p>
    <w:p>
      <w:pPr>
        <w:spacing w:after="40"/>
      </w:pPr>
    </w:p>
    <w:p>
      <w:pPr>
        <w:spacing w:before="160" w:after="60"/>
      </w:pPr>
      <w:r>
        <w:rPr>
          <w:b/>
          <w:sz w:val="25"/>
          <w:szCs w:val="25"/>
        </w:rPr>
        <w:t xml:space="preserve">Empfohlene Risikominderungen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KI-generierte Inhalte als solche kennzeichnen; Eskalation an Menschen jederzeit möglich.</w:t>
      </w:r>
    </w:p>
    <w:p>
      <w:pPr>
        <w:spacing w:after="40"/>
      </w:pPr>
    </w:p>
    <w:p>
      <w:pPr>
        <w:spacing w:before="160" w:after="60"/>
      </w:pPr>
      <w:r>
        <w:rPr>
          <w:b/>
          <w:sz w:val="25"/>
          <w:szCs w:val="25"/>
        </w:rPr>
        <w:t xml:space="preserve">Unsicherheit der Einschätzung</w:t>
      </w:r>
    </w:p>
    <w:p>
      <w:pPr>
        <w:spacing w:after="60"/>
      </w:pPr>
      <w:r>
        <w:rPr>
          <w:sz w:val="19"/>
          <w:szCs w:val="19"/>
        </w:rPr>
        <w:t xml:space="preserve">Regelset v0.1 arbeitet mit internen Prüfheuristiken zu EU AI Act, DSGVO/GDPR, Schweizer DSG und UK-Kontext. Die Einschätzung hängt von der Vollständigkeit der Registry-Angaben ab und ersetzt keine juristische Prüfung.</w:t>
      </w:r>
    </w:p>
    <w:p>
      <w:pPr>
        <w:spacing w:before="160" w:after="60"/>
      </w:pPr>
      <w:r>
        <w:rPr>
          <w:b/>
          <w:sz w:val="30"/>
          <w:szCs w:val="30"/>
        </w:rPr>
        <w:t xml:space="preserve">Policy- &amp; Kontroll-Übersicht</w:t>
      </w: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Kontrollstatus dokumentiert Prüfung der Nachweise — er bescheinigt keine Konformität.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2265"/>
        <w:gridCol w:w="2265"/>
        <w:gridCol w:w="2265"/>
        <w:gridCol w:w="2265"/>
      </w:tblGrid>
      <w:tr>
        <w:tc>
          <w:tcPr>
            <w:tcW w:w="2265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Kontrolle</w:t>
            </w:r>
          </w:p>
        </w:tc>
        <w:tc>
          <w:tcPr>
            <w:tcW w:w="2265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Fundstelle</w:t>
            </w:r>
          </w:p>
        </w:tc>
        <w:tc>
          <w:tcPr>
            <w:tcW w:w="2265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Status</w:t>
            </w:r>
          </w:p>
        </w:tc>
        <w:tc>
          <w:tcPr>
            <w:tcW w:w="2265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Nachweise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Transparenz &amp; Kennzeichnung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13 / 50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Nachweis angehängt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KI-Kompetenz der Beteiligten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4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Offen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25"/>
          <w:szCs w:val="25"/>
        </w:rPr>
        <w:t xml:space="preserve">Offene Lücken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KI-Kompetenz der Beteiligten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Menschliche Aufsicht</w:t>
      </w:r>
    </w:p>
    <w:p>
      <w:pPr>
        <w:spacing w:after="20"/>
      </w:pPr>
      <w:r>
        <w:rPr>
          <w:b/>
          <w:sz w:val="18"/>
          <w:szCs w:val="18"/>
        </w:rPr>
        <w:t xml:space="preserve">Verantwortlicher Mensch: </w:t>
      </w:r>
      <w:r>
        <w:rPr>
          <w:sz w:val="18"/>
          <w:szCs w:val="18"/>
        </w:rPr>
        <w:t xml:space="preserve">Oversight-Zuordnung ausstehend — vor Freigabe ist ein final responsible human zu benennen.</w:t>
      </w:r>
    </w:p>
    <w:p>
      <w:pPr>
        <w:spacing w:after="20"/>
      </w:pPr>
      <w:r>
        <w:rPr>
          <w:b/>
          <w:sz w:val="18"/>
          <w:szCs w:val="18"/>
        </w:rPr>
        <w:t xml:space="preserve">Prüfende Person: </w:t>
      </w:r>
      <w:r>
        <w:rPr>
          <w:sz w:val="18"/>
          <w:szCs w:val="18"/>
        </w:rPr>
        <w:t xml:space="preserve">—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Die menschliche Verantwortung bleibt verpflichtend; KI trifft keine automatischen Entscheidungen über Personen.</w:t>
      </w:r>
    </w:p>
    <w:p>
      <w:pPr>
        <w:spacing w:before="160" w:after="60"/>
      </w:pPr>
      <w:r>
        <w:rPr>
          <w:b/>
          <w:sz w:val="25"/>
          <w:szCs w:val="25"/>
        </w:rPr>
        <w:t xml:space="preserve">Review-Historie</w:t>
      </w:r>
    </w:p>
    <w:p>
      <w:pPr>
        <w:spacing w:after="60"/>
      </w:pPr>
      <w:r>
        <w:rPr>
          <w:sz w:val="19"/>
          <w:szCs w:val="19"/>
        </w:rPr>
        <w:t xml:space="preserve">Noch keine Review-Entscheidungen erfasst.</w:t>
      </w:r>
    </w:p>
    <w:p>
      <w:pPr>
        <w:spacing w:before="160" w:after="60"/>
      </w:pPr>
      <w:r>
        <w:rPr>
          <w:b/>
          <w:sz w:val="30"/>
          <w:szCs w:val="30"/>
        </w:rPr>
        <w:t xml:space="preserve">Evidenz-Zusammenfassung</w:t>
      </w:r>
    </w:p>
    <w:p>
      <w:pPr>
        <w:spacing w:after="20"/>
      </w:pPr>
      <w:r>
        <w:rPr>
          <w:b/>
          <w:sz w:val="18"/>
          <w:szCs w:val="18"/>
        </w:rPr>
        <w:t xml:space="preserve">Status der Evidenz-Kette: </w:t>
      </w:r>
      <w:r>
        <w:rPr>
          <w:sz w:val="18"/>
          <w:szCs w:val="18"/>
        </w:rPr>
        <w:t xml:space="preserve">ungültig (Manipulationsverdacht)</w:t>
      </w:r>
    </w:p>
    <w:p>
      <w:pPr>
        <w:spacing w:after="20"/>
      </w:pPr>
      <w:r>
        <w:rPr>
          <w:b/>
          <w:sz w:val="18"/>
          <w:szCs w:val="18"/>
        </w:rPr>
        <w:t xml:space="preserve">Anzahl Evidence-Ereignisse: </w:t>
      </w:r>
      <w:r>
        <w:rPr>
          <w:sz w:val="18"/>
          <w:szCs w:val="18"/>
        </w:rPr>
        <w:t xml:space="preserve">30</w:t>
      </w:r>
    </w:p>
    <w:p>
      <w:pPr>
        <w:spacing w:after="20"/>
      </w:pPr>
      <w:r>
        <w:rPr>
          <w:b/>
          <w:sz w:val="18"/>
          <w:szCs w:val="18"/>
        </w:rPr>
        <w:t xml:space="preserve">Verifikation bestanden: </w:t>
      </w:r>
      <w:r>
        <w:rPr>
          <w:sz w:val="18"/>
          <w:szCs w:val="18"/>
        </w:rPr>
        <w:t xml:space="preserve">Nein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Simulierte Verankerung (PageCipher-Integration ausstehend) — als Simulation gekennzeichnet.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1812"/>
        <w:gridCol w:w="1812"/>
        <w:gridCol w:w="1812"/>
        <w:gridCol w:w="1812"/>
        <w:gridCol w:w="1812"/>
      </w:tblGrid>
      <w:tr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#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Zeitstempel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Actor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Aktion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Hash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416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2026-09-02T18:23:05.524Z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8f4cff5eed9b…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418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2026-09-02T18:23:06.084Z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b3df200e1219…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492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2026-09-02T18:31:20.070Z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3f1861dca46a…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508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2026-09-02T18:31:25.071Z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8383e91764d3…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510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2026-09-02T18:59:53.811Z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d9bafaa756f4…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512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2026-09-02T18:59:54.271Z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d147bbac2639…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514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2026-09-02T18:59:56.768Z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a842a5b89dc6…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516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2026-09-02T18:59:57.307Z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e1e681b96da3…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562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2026-09-02T19:00:31.294Z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582b19206326…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564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2026-09-02T19:00:31.801Z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755b860341c6…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566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2026-09-02T19:00:33.291Z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c4db60ebed18…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568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2026-09-02T19:00:33.769Z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158735372b2f…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578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2026-09-02T19:00:41.825Z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9c758444a88b…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582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2026-09-02T19:00:42.794Z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0cfffd10551f…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25"/>
          <w:szCs w:val="25"/>
        </w:rPr>
        <w:t xml:space="preserve">PageCipher-Ankerstatus</w:t>
      </w:r>
    </w:p>
    <w:p>
      <w:pPr>
        <w:spacing w:after="20"/>
      </w:pPr>
      <w:r>
        <w:rPr>
          <w:b/>
          <w:sz w:val="18"/>
          <w:szCs w:val="18"/>
        </w:rPr>
        <w:t xml:space="preserve">PageCipher-Integrationsstatus: </w:t>
      </w:r>
      <w:r>
        <w:rPr>
          <w:sz w:val="18"/>
          <w:szCs w:val="18"/>
        </w:rPr>
        <w:t xml:space="preserve">Aktiv (HTTP-Anbindung an PageCipher)</w:t>
      </w:r>
    </w:p>
    <w:p>
      <w:pPr>
        <w:spacing w:after="20"/>
      </w:pPr>
      <w:r>
        <w:rPr>
          <w:b/>
          <w:sz w:val="18"/>
          <w:szCs w:val="18"/>
        </w:rPr>
        <w:t xml:space="preserve">PageCipher-Ankerstatus: </w:t>
      </w:r>
      <w:r>
        <w:rPr>
          <w:sz w:val="18"/>
          <w:szCs w:val="18"/>
        </w:rPr>
        <w:t xml:space="preserve">26/30 Verankert</w:t>
      </w:r>
    </w:p>
    <w:p>
      <w:pPr>
        <w:spacing w:after="20"/>
      </w:pPr>
      <w:r>
        <w:rPr>
          <w:b/>
          <w:sz w:val="18"/>
          <w:szCs w:val="18"/>
        </w:rPr>
        <w:t xml:space="preserve">PageCipher-Ankerreferenz: </w:t>
      </w:r>
      <w:r>
        <w:rPr>
          <w:sz w:val="18"/>
          <w:szCs w:val="18"/>
        </w:rPr>
        <w:t xml:space="preserve">pagecipher:f9dc6ce681bd13c297f7e5d0e87af1aa</w:t>
      </w:r>
    </w:p>
    <w:p>
      <w:pPr>
        <w:spacing w:after="20"/>
      </w:pPr>
      <w:r>
        <w:rPr>
          <w:b/>
          <w:sz w:val="18"/>
          <w:szCs w:val="18"/>
        </w:rPr>
        <w:t xml:space="preserve">Letzter Ankerversuch: </w:t>
      </w:r>
      <w:r>
        <w:rPr>
          <w:sz w:val="18"/>
          <w:szCs w:val="18"/>
        </w:rPr>
        <w:t xml:space="preserve">2026-09-02T19:00:42.798Z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Der PageCipher-Anker belegt die Integrität und Herkunft der Evidenz — er bescheinigt keine Rechtskonformität.</w:t>
      </w:r>
    </w:p>
    <w:p>
      <w:pPr>
        <w:spacing w:before="160" w:after="60"/>
      </w:pPr>
      <w:r>
        <w:rPr>
          <w:b/>
          <w:sz w:val="30"/>
          <w:szCs w:val="30"/>
        </w:rPr>
        <w:t xml:space="preserve">Offene Risiken &amp; Lücken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1 offene Kontrollen ohne Nachweis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Rechtliche Hinweise (Disclaimer)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Dieser Report bescheinigt keine Rechtskonformität.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Die Risikoklassifikation ist vorläufig und ersetzt keine rechtliche Bewertung.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Die rechtliche Bewertung kann eine spezialisierte juristische Prüfung erfordern.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Dieser Bericht dient der Governance- und Compliance-Vorbereitung auf Evidenzbasis. Er stellt keine Rechtsberatung, keine Zertifizierung und keine Konformitätsbescheinigung dar.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Die menschliche Verantwortung bleibt verpflichtend; KI trifft keine automatischen Entscheidungen über Personen.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Anhang</w:t>
      </w:r>
    </w:p>
    <w:p>
      <w:pPr>
        <w:spacing w:before="160" w:after="60"/>
      </w:pPr>
      <w:r>
        <w:rPr>
          <w:b/>
          <w:sz w:val="25"/>
          <w:szCs w:val="25"/>
        </w:rPr>
        <w:t xml:space="preserve">Kontrollkatalog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3020"/>
        <w:gridCol w:w="3020"/>
        <w:gridCol w:w="3020"/>
      </w:tblGrid>
      <w:tr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Kontrolle</w:t>
            </w:r>
          </w:p>
        </w:tc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Quelle</w:t>
            </w:r>
          </w:p>
        </w:tc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Fundstelle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Prüfung auf verbotene Praktiken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5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Risikomanagementsystem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9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Daten-Governance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10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Technische Dokumentation (Annex-IV-nah)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11 / Annex IV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Protokollierung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12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Transparenz &amp; Kennzeichnung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13 / 50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Menschliche Aufsicht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14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Genauigkeit, Robustheit, Cybersicherheit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15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Rechtmäßigkeit der Verarbeitung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6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Datenminimierung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5(1c)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Datenschutz-Folgenabschätzung (DSFA)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35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Betroffenenrechte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12–22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Bias-Monitoring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internal_policy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SysTec Policy AI-BIAS-01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KI-Kompetenz der Beteiligten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ai_literacy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4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Zugriffskontrolle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security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ISO 27001 A.9 (Referenz)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Audit-/Evidenz-Kette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audit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SysTec Evidence Standard (ADR-003)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25"/>
          <w:szCs w:val="25"/>
        </w:rPr>
        <w:t xml:space="preserve">Erzeugungs-Metadaten</w:t>
      </w:r>
    </w:p>
    <w:p>
      <w:pPr>
        <w:spacing w:after="20"/>
      </w:pPr>
      <w:r>
        <w:rPr>
          <w:b/>
          <w:sz w:val="18"/>
          <w:szCs w:val="18"/>
        </w:rPr>
        <w:t xml:space="preserve">Erstellt am: </w:t>
      </w:r>
      <w:r>
        <w:rPr>
          <w:sz w:val="18"/>
          <w:szCs w:val="18"/>
        </w:rPr>
        <w:t xml:space="preserve">2026-09-04T04:54:56.425Z</w:t>
      </w:r>
    </w:p>
    <w:p>
      <w:pPr>
        <w:spacing w:after="20"/>
      </w:pPr>
      <w:r>
        <w:rPr>
          <w:b/>
          <w:sz w:val="18"/>
          <w:szCs w:val="18"/>
        </w:rPr>
        <w:t xml:space="preserve">Version: </w:t>
      </w:r>
      <w:r>
        <w:rPr>
          <w:sz w:val="18"/>
          <w:szCs w:val="18"/>
        </w:rPr>
        <w:t xml:space="preserve">0.1.0</w:t>
      </w:r>
    </w:p>
    <w:p>
      <w:pPr>
        <w:spacing w:after="20"/>
      </w:pPr>
      <w:r>
        <w:rPr>
          <w:b/>
          <w:sz w:val="18"/>
          <w:szCs w:val="18"/>
        </w:rPr>
        <w:t xml:space="preserve">Sprachabdeckung: </w:t>
      </w:r>
      <w:r>
        <w:rPr>
          <w:sz w:val="18"/>
          <w:szCs w:val="18"/>
        </w:rPr>
        <w:t xml:space="preserve">100 %</w:t>
      </w:r>
    </w:p>
    <w:p>
      <w:pPr>
        <w:spacing w:after="20"/>
      </w:pPr>
      <w:r>
        <w:rPr>
          <w:b/>
          <w:sz w:val="18"/>
          <w:szCs w:val="18"/>
        </w:rPr>
        <w:t xml:space="preserve">Anzahl Evidence-Ereignisse: </w:t>
      </w:r>
      <w:r>
        <w:rPr>
          <w:sz w:val="18"/>
          <w:szCs w:val="18"/>
        </w:rPr>
        <w:t xml:space="preserve">699</w:t>
      </w:r>
    </w:p>
    <w:p>
      <w:pPr>
        <w:spacing w:after="40"/>
      </w:pPr>
    </w:p>
    <w:p>
      <w:sectPr>
        <w:pgSz w:w="11906" w:h="16838"/>
        <w:pgMar w:top="1134" w:right="1134" w:bottom="1134" w:left="1134" w:header="720" w:footer="720" w:gutter="0"/>
      </w:sectPr>
    </w:p>
  </w:body>
</w:document>
</file>