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Rapport de gouvernance — DiaLekt X — assistant de communication IA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préparation à la gouvernance, appui à l'assurance et preuves prêtes pour l'audit. Aucune attestation de conformité juridique.</w:t>
      </w:r>
    </w:p>
    <w:p>
      <w:pPr>
        <w:spacing w:after="20"/>
      </w:pPr>
      <w:r>
        <w:rPr>
          <w:b/>
          <w:sz w:val="18"/>
          <w:szCs w:val="18"/>
        </w:rPr>
        <w:t xml:space="preserve">Produit: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 d'usage: </w:t>
      </w:r>
      <w:r>
        <w:rPr>
          <w:sz w:val="18"/>
          <w:szCs w:val="18"/>
        </w:rPr>
        <w:t xml:space="preserve">uc_dlx_001 (v1)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Langue: </w:t>
      </w:r>
      <w:r>
        <w:rPr>
          <w:sz w:val="18"/>
          <w:szCs w:val="18"/>
        </w:rPr>
        <w:t xml:space="preserve">FR</w:t>
      </w:r>
    </w:p>
    <w:p>
      <w:pPr>
        <w:spacing w:after="20"/>
      </w:pPr>
      <w:r>
        <w:rPr>
          <w:b/>
          <w:sz w:val="18"/>
          <w:szCs w:val="18"/>
        </w:rPr>
        <w:t xml:space="preserve">Mode des données: </w:t>
      </w:r>
      <w:r>
        <w:rPr>
          <w:sz w:val="18"/>
          <w:szCs w:val="18"/>
        </w:rPr>
        <w:t xml:space="preserve">synthétique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2026-09-04T07:40:20.172Z</w:t>
      </w:r>
    </w:p>
    <w:p>
      <w:pPr>
        <w:spacing w:after="20"/>
      </w:pPr>
      <w:r>
        <w:rPr>
          <w:b/>
          <w:sz w:val="18"/>
          <w:szCs w:val="18"/>
        </w:rPr>
        <w:t xml:space="preserve">État du rapport: </w:t>
      </w:r>
      <w:r>
        <w:rPr>
          <w:sz w:val="18"/>
          <w:szCs w:val="18"/>
        </w:rPr>
        <w:t xml:space="preserve">Classifié à titre provisoire</w:t>
      </w:r>
    </w:p>
    <w:p>
      <w:pPr>
        <w:spacing w:after="20"/>
      </w:pPr>
      <w:r>
        <w:rPr>
          <w:b/>
          <w:sz w:val="18"/>
          <w:szCs w:val="18"/>
        </w:rPr>
        <w:t xml:space="preserve">Hachage d'intégrité: </w:t>
      </w:r>
      <w:r>
        <w:rPr>
          <w:sz w:val="18"/>
          <w:szCs w:val="18"/>
        </w:rPr>
        <w:t xml:space="preserve">7dcf5f7542812c40…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repose exclusivement sur des données synthétiques (exploitation pilote). Aucune donnée personnelle réelle.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Ce rapport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pour les décideurs</w:t>
      </w:r>
    </w:p>
    <w:p>
      <w:pPr>
        <w:spacing w:after="60"/>
      </w:pPr>
      <w:r>
        <w:rPr>
          <w:sz w:val="19"/>
          <w:szCs w:val="19"/>
        </w:rPr>
        <w:t xml:space="preserve">Assistance à la formulation et à la communication assistée par IA — candidat à la gouvernance synthétique soumis à une obligation de transparence/de marquage.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Aide à la communication et à la formulation avec marquage IA — aucun engagement contraignant par l'IA.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limité — vérifier les obligations de transparence</w:t>
      </w:r>
    </w:p>
    <w:p>
      <w:pPr>
        <w:spacing w:after="20"/>
      </w:pPr>
      <w:r>
        <w:rPr>
          <w:b/>
          <w:sz w:val="18"/>
          <w:szCs w:val="18"/>
        </w:rPr>
        <w:t xml:space="preserve">Supervision humaine requise: </w:t>
      </w:r>
      <w:r>
        <w:rPr>
          <w:sz w:val="18"/>
          <w:szCs w:val="18"/>
        </w:rPr>
        <w:t xml:space="preserve">Non</w:t>
      </w:r>
    </w:p>
    <w:p>
      <w:pPr>
        <w:spacing w:after="20"/>
      </w:pPr>
      <w:r>
        <w:rPr>
          <w:b/>
          <w:sz w:val="18"/>
          <w:szCs w:val="18"/>
        </w:rPr>
        <w:t xml:space="preserve">Préparation à la gouvernance: </w:t>
      </w:r>
      <w:r>
        <w:rPr>
          <w:sz w:val="18"/>
          <w:szCs w:val="18"/>
        </w:rPr>
        <w:t xml:space="preserve">1/2 Contrôles avec preuve/examinés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préparation à la gouvernance désigne le degré de préparation (preuves disponibles/examinées) — elle ne certifie aucune conformité.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 du cas d'usage</w:t>
      </w:r>
    </w:p>
    <w:p>
      <w:pPr>
        <w:spacing w:after="20"/>
      </w:pPr>
      <w:r>
        <w:rPr>
          <w:b/>
          <w:sz w:val="18"/>
          <w:szCs w:val="18"/>
        </w:rPr>
        <w:t xml:space="preserve">Finalité prévue: </w:t>
      </w:r>
      <w:r>
        <w:rPr>
          <w:sz w:val="18"/>
          <w:szCs w:val="18"/>
        </w:rPr>
        <w:t xml:space="preserve">Aide à la communication et à la formulation avec marquage IA — aucun engagement contraignant par l'IA.</w:t>
      </w:r>
    </w:p>
    <w:p>
      <w:pPr>
        <w:spacing w:after="20"/>
      </w:pPr>
      <w:r>
        <w:rPr>
          <w:b/>
          <w:sz w:val="18"/>
          <w:szCs w:val="18"/>
        </w:rPr>
        <w:t xml:space="preserve">Groupes de personnes concernées: </w:t>
      </w:r>
      <w:r>
        <w:rPr>
          <w:sz w:val="18"/>
          <w:szCs w:val="18"/>
        </w:rPr>
        <w:t xml:space="preserve">kommunizierende_personen</w:t>
      </w:r>
    </w:p>
    <w:p>
      <w:pPr>
        <w:spacing w:after="20"/>
      </w:pPr>
      <w:r>
        <w:rPr>
          <w:b/>
          <w:sz w:val="18"/>
          <w:szCs w:val="18"/>
        </w:rPr>
        <w:t xml:space="preserve">Sources de données: </w:t>
      </w:r>
      <w:r>
        <w:rPr>
          <w:sz w:val="18"/>
          <w:szCs w:val="18"/>
        </w:rPr>
        <w:t xml:space="preserve">kommunikationstexte_synthetisch</w:t>
      </w:r>
    </w:p>
    <w:p>
      <w:pPr>
        <w:spacing w:after="20"/>
      </w:pPr>
      <w:r>
        <w:rPr>
          <w:b/>
          <w:sz w:val="18"/>
          <w:szCs w:val="18"/>
        </w:rPr>
        <w:t xml:space="preserve">Fonction IA: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Impacts possibles: </w:t>
      </w:r>
      <w:r>
        <w:rPr>
          <w:sz w:val="18"/>
          <w:szCs w:val="18"/>
        </w:rPr>
        <w:t xml:space="preserve">operativ, transparenzpflicht</w:t>
      </w:r>
    </w:p>
    <w:p>
      <w:pPr>
        <w:spacing w:after="20"/>
      </w:pPr>
      <w:r>
        <w:rPr>
          <w:b/>
          <w:sz w:val="18"/>
          <w:szCs w:val="18"/>
        </w:rPr>
        <w:t xml:space="preserve">Espace juridique: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Système source: </w:t>
      </w:r>
      <w:r>
        <w:rPr>
          <w:sz w:val="18"/>
          <w:szCs w:val="18"/>
        </w:rPr>
        <w:t xml:space="preserve">dialekt-x</w:t>
      </w:r>
    </w:p>
    <w:p>
      <w:pPr>
        <w:spacing w:after="20"/>
      </w:pPr>
      <w:r>
        <w:rPr>
          <w:b/>
          <w:sz w:val="18"/>
          <w:szCs w:val="18"/>
        </w:rPr>
        <w:t xml:space="preserve">État du cycle de vie: </w:t>
      </w:r>
      <w:r>
        <w:rPr>
          <w:sz w:val="18"/>
          <w:szCs w:val="18"/>
        </w:rPr>
        <w:t xml:space="preserve">Classifié à titre provisoire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Évaluation des risques (préliminaire)</w:t>
      </w:r>
    </w:p>
    <w:p>
      <w:pPr>
        <w:spacing w:after="20"/>
      </w:pPr>
      <w:r>
        <w:rPr>
          <w:b/>
          <w:sz w:val="18"/>
          <w:szCs w:val="18"/>
        </w:rPr>
        <w:t xml:space="preserve">Classe de risque préliminaire: </w:t>
      </w:r>
      <w:r>
        <w:rPr>
          <w:sz w:val="18"/>
          <w:szCs w:val="18"/>
        </w:rPr>
        <w:t xml:space="preserve">Risque limité — vérifier les obligations de transparence</w:t>
      </w:r>
    </w:p>
    <w:p>
      <w:pPr>
        <w:spacing w:after="20"/>
      </w:pPr>
      <w:r>
        <w:rPr>
          <w:b/>
          <w:sz w:val="18"/>
          <w:szCs w:val="18"/>
        </w:rPr>
        <w:t xml:space="preserve">Niveau de confiance de l'évaluation: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Jeu de règles: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Examen humain requis: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classification de risque est préliminaire et ne remplace pas une appréciation juridique.</w:t>
      </w:r>
    </w:p>
    <w:p>
      <w:pPr>
        <w:spacing w:before="160" w:after="60"/>
      </w:pPr>
      <w:r>
        <w:rPr>
          <w:b/>
          <w:sz w:val="25"/>
          <w:szCs w:val="25"/>
        </w:rPr>
        <w:t xml:space="preserve">Justification (référence aux règles)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Fonction IA générative ou de recommandation — les obligations de transparence et de marquage sont à vérifier.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Mesures d'atténuation recommandées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Signaler les contenus générés par l'IA comme tels ; l'escalade vers un humain reste possible à tout moment.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Incertitude de l'évaluation</w:t>
      </w:r>
    </w:p>
    <w:p>
      <w:pPr>
        <w:spacing w:after="60"/>
      </w:pPr>
      <w:r>
        <w:rPr>
          <w:sz w:val="19"/>
          <w:szCs w:val="19"/>
        </w:rPr>
        <w:t xml:space="preserve">Le jeu de règles v0.1 s'appuie sur des heuristiques d'examen internes relatives à l'EU AI Act, au RGPD/GDPR, à la LPD suisse et au contexte britannique. L'évaluation dépend de l'exhaustivité des informations du registre et ne remplace pas un examen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Aperçu des politiques et des contrôles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L'état du contrôle documente l'examen des preuves — il ne certifie aucune conformité.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État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Preuves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Preuve jointe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Ouvert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Lacunes ouvertes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Compétence en IA des personnes impliquées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 humaine</w:t>
      </w:r>
    </w:p>
    <w:p>
      <w:pPr>
        <w:spacing w:after="20"/>
      </w:pPr>
      <w:r>
        <w:rPr>
          <w:b/>
          <w:sz w:val="18"/>
          <w:szCs w:val="18"/>
        </w:rPr>
        <w:t xml:space="preserve">Humain responsable: </w:t>
      </w:r>
      <w:r>
        <w:rPr>
          <w:sz w:val="18"/>
          <w:szCs w:val="18"/>
        </w:rPr>
        <w:t xml:space="preserve">Attribution de la supervision en attente — un final responsible human doit être désigné avant l'approbation.</w:t>
      </w:r>
    </w:p>
    <w:p>
      <w:pPr>
        <w:spacing w:after="20"/>
      </w:pPr>
      <w:r>
        <w:rPr>
          <w:b/>
          <w:sz w:val="18"/>
          <w:szCs w:val="18"/>
        </w:rPr>
        <w:t xml:space="preserve">Personne chargée de la vérification: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responsabilité humaine demeure obligatoire ; l'IA ne prend aucune décision automatique concernant des personnes.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Historique des examens</w:t>
      </w:r>
    </w:p>
    <w:p>
      <w:pPr>
        <w:spacing w:after="60"/>
      </w:pPr>
      <w:r>
        <w:rPr>
          <w:sz w:val="19"/>
          <w:szCs w:val="19"/>
        </w:rPr>
        <w:t xml:space="preserve">Aucune décision d'examen encore enregistrée.</w:t>
      </w:r>
    </w:p>
    <w:p>
      <w:pPr>
        <w:spacing w:before="160" w:after="60"/>
      </w:pPr>
      <w:r>
        <w:rPr>
          <w:b/>
          <w:sz w:val="30"/>
          <w:szCs w:val="30"/>
        </w:rPr>
        <w:t xml:space="preserve">Synthèse des preuves</w:t>
      </w:r>
    </w:p>
    <w:p>
      <w:pPr>
        <w:spacing w:after="20"/>
      </w:pPr>
      <w:r>
        <w:rPr>
          <w:b/>
          <w:sz w:val="18"/>
          <w:szCs w:val="18"/>
        </w:rPr>
        <w:t xml:space="preserve">État de la chaîne de preuves: </w:t>
      </w:r>
      <w:r>
        <w:rPr>
          <w:sz w:val="18"/>
          <w:szCs w:val="18"/>
        </w:rPr>
        <w:t xml:space="preserve">invalide (suspicion de manipulation)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45</w:t>
      </w:r>
    </w:p>
    <w:p>
      <w:pPr>
        <w:spacing w:after="20"/>
      </w:pPr>
      <w:r>
        <w:rPr>
          <w:b/>
          <w:sz w:val="18"/>
          <w:szCs w:val="18"/>
        </w:rPr>
        <w:t xml:space="preserve">Vérification réussie: </w:t>
      </w:r>
      <w:r>
        <w:rPr>
          <w:sz w:val="18"/>
          <w:szCs w:val="18"/>
        </w:rPr>
        <w:t xml:space="preserve">Non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Ancrage simulé (intégration PageCipher en attente) — signalé comme simulation.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Horodatage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Acteur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Action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2026-09-04T04:55:41.475Z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54794c701e76…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2026-09-04T05:43:18.345Z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298497ed7831…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2026-09-04T06:36:04.534Z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526d1b492eaa…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2026-09-04T06:36:24.979Z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c13eb2d60d0a…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2026-09-04T06:47:35.668Z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df9b20e7538f…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2026-09-04T06:47:46.693Z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eb0bce49e89d…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2026-09-04T06:48:01.476Z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83d5557ea8d6…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2026-09-04T06:48:16.716Z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8d05997b0bf0…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2026-09-04T06:48:38.258Z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9edd17533e2e…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2026-09-04T07:26:49.942Z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c1e69e77641f…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997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2026-09-04T07:27:24.103Z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8f7784bfbb82…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ca252b08a7a1…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2026-09-04T07:27:24.350Z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e8fe51145330…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1082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2026-09-04T07:40:16.694Z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e950656b20eb…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État de l'ancre PageCipher</w:t>
      </w:r>
    </w:p>
    <w:p>
      <w:pPr>
        <w:spacing w:after="20"/>
      </w:pPr>
      <w:r>
        <w:rPr>
          <w:b/>
          <w:sz w:val="18"/>
          <w:szCs w:val="18"/>
        </w:rPr>
        <w:t xml:space="preserve">État de l'intégration PageCipher: </w:t>
      </w:r>
      <w:r>
        <w:rPr>
          <w:sz w:val="18"/>
          <w:szCs w:val="18"/>
        </w:rPr>
        <w:t xml:space="preserve">Actif (raccordement HTTP à PageCipher)</w:t>
      </w:r>
    </w:p>
    <w:p>
      <w:pPr>
        <w:spacing w:after="20"/>
      </w:pPr>
      <w:r>
        <w:rPr>
          <w:b/>
          <w:sz w:val="18"/>
          <w:szCs w:val="18"/>
        </w:rPr>
        <w:t xml:space="preserve">État de l'ancre PageCipher: </w:t>
      </w:r>
      <w:r>
        <w:rPr>
          <w:sz w:val="18"/>
          <w:szCs w:val="18"/>
        </w:rPr>
        <w:t xml:space="preserve">41/45 Ancré</w:t>
      </w:r>
    </w:p>
    <w:p>
      <w:pPr>
        <w:spacing w:after="20"/>
      </w:pPr>
      <w:r>
        <w:rPr>
          <w:b/>
          <w:sz w:val="18"/>
          <w:szCs w:val="18"/>
        </w:rPr>
        <w:t xml:space="preserve">Référence de l'ancre PageCipher: </w:t>
      </w:r>
      <w:r>
        <w:rPr>
          <w:sz w:val="18"/>
          <w:szCs w:val="18"/>
        </w:rPr>
        <w:t xml:space="preserve">pagecipher:f9dc6ce681bd13c297f7e5d0e87af1aa</w:t>
      </w:r>
    </w:p>
    <w:p>
      <w:pPr>
        <w:spacing w:after="20"/>
      </w:pPr>
      <w:r>
        <w:rPr>
          <w:b/>
          <w:sz w:val="18"/>
          <w:szCs w:val="18"/>
        </w:rPr>
        <w:t xml:space="preserve">Dernière tentative d'ancrage: </w:t>
      </w:r>
      <w:r>
        <w:rPr>
          <w:sz w:val="18"/>
          <w:szCs w:val="18"/>
        </w:rPr>
        <w:t xml:space="preserve">2026-09-04T07:40:16.701Z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L'ancre PageCipher atteste l'intégrité et l'origine des preuves — elle ne certifie aucune conformité juridique.</w:t>
      </w:r>
    </w:p>
    <w:p>
      <w:pPr>
        <w:spacing w:before="160" w:after="60"/>
      </w:pPr>
      <w:r>
        <w:rPr>
          <w:b/>
          <w:sz w:val="30"/>
          <w:szCs w:val="30"/>
        </w:rPr>
        <w:t xml:space="preserve">Risques et lacunes ouverts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contrôles ouverts sans preuve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Mentions légales (avertissement)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ne certifie aucune conformité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classification de risque est préliminaire et ne remplace pas une appréciation juridique.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L'appréciation juridique peut nécessiter un examen juridique spécialisé.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Ce rapport sert à préparer la gouvernance et la conformité sur une base probante. Il ne constitue ni un conseil juridique, ni une certification, ni une attestation de conformité.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responsabilité humaine demeure obligatoire ; l'IA ne prend aucune décision automatique concernant des personnes.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Annexe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Catalogue des contrôles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Contrôle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Source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Référence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Vérification des pratiques interdites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Système de gestion des risques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Gouvernance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Documentation technique (proche de l'annexe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Journalisation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Transparence et marquage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 humaine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Exactitude, robustesse, cybersécurité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Licéité du traitement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Minimisation des données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Analyse d'impact relative à la protection des données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Droits des personnes concernées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Surveillance des biais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Compétence en IA des personnes impliquées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Contrôle d'accès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Chaîne d'audit/de preuves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Métadonnées de génération</w:t>
      </w:r>
    </w:p>
    <w:p>
      <w:pPr>
        <w:spacing w:after="20"/>
      </w:pPr>
      <w:r>
        <w:rPr>
          <w:b/>
          <w:sz w:val="18"/>
          <w:szCs w:val="18"/>
        </w:rPr>
        <w:t xml:space="preserve">Généré le: </w:t>
      </w:r>
      <w:r>
        <w:rPr>
          <w:sz w:val="18"/>
          <w:szCs w:val="18"/>
        </w:rPr>
        <w:t xml:space="preserve">2026-09-04T07:40:20.172Z</w:t>
      </w:r>
    </w:p>
    <w:p>
      <w:pPr>
        <w:spacing w:after="20"/>
      </w:pPr>
      <w:r>
        <w:rPr>
          <w:b/>
          <w:sz w:val="18"/>
          <w:szCs w:val="18"/>
        </w:rPr>
        <w:t xml:space="preserve">Version: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Couverture linguistique: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Nombre d’événements de preuve: </w:t>
      </w:r>
      <w:r>
        <w:rPr>
          <w:sz w:val="18"/>
          <w:szCs w:val="18"/>
        </w:rPr>
        <w:t xml:space="preserve">1091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