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Governance-Report — Entscheidungskontext-Assistenz (DecisionTrust)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Governance-Vorbereitung, Assurance-Unterstützung und audit-ready Evidenz. Keine Rechtskonformitäts-Bescheinigung.</w:t>
      </w:r>
    </w:p>
    <w:p>
      <w:pPr>
        <w:spacing w:after="20"/>
      </w:pPr>
      <w:r>
        <w:rPr>
          <w:b/>
          <w:sz w:val="18"/>
          <w:szCs w:val="18"/>
        </w:rPr>
        <w:t xml:space="preserve">Produkt: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Use Case: </w:t>
      </w:r>
      <w:r>
        <w:rPr>
          <w:sz w:val="18"/>
          <w:szCs w:val="18"/>
        </w:rPr>
        <w:t xml:space="preserve">uc_dt_001 (v1)</w:t>
      </w:r>
    </w:p>
    <w:p>
      <w:pPr>
        <w:spacing w:after="20"/>
      </w:pPr>
      <w:r>
        <w:rPr>
          <w:b/>
          <w:sz w:val="18"/>
          <w:szCs w:val="18"/>
        </w:rPr>
        <w:t xml:space="preserve">Quellsystem: </w:t>
      </w:r>
      <w:r>
        <w:rPr>
          <w:sz w:val="18"/>
          <w:szCs w:val="18"/>
        </w:rPr>
        <w:t xml:space="preserve">decision-trust</w:t>
      </w:r>
    </w:p>
    <w:p>
      <w:pPr>
        <w:spacing w:after="20"/>
      </w:pPr>
      <w:r>
        <w:rPr>
          <w:b/>
          <w:sz w:val="18"/>
          <w:szCs w:val="18"/>
        </w:rPr>
        <w:t xml:space="preserve">Sprache: </w:t>
      </w:r>
      <w:r>
        <w:rPr>
          <w:sz w:val="18"/>
          <w:szCs w:val="18"/>
        </w:rPr>
        <w:t xml:space="preserve">DE</w:t>
      </w:r>
    </w:p>
    <w:p>
      <w:pPr>
        <w:spacing w:after="20"/>
      </w:pPr>
      <w:r>
        <w:rPr>
          <w:b/>
          <w:sz w:val="18"/>
          <w:szCs w:val="18"/>
        </w:rPr>
        <w:t xml:space="preserve">Datenmodus: </w:t>
      </w:r>
      <w:r>
        <w:rPr>
          <w:sz w:val="18"/>
          <w:szCs w:val="18"/>
        </w:rPr>
        <w:t xml:space="preserve">synthetisch</w:t>
      </w:r>
    </w:p>
    <w:p>
      <w:pPr>
        <w:spacing w:after="20"/>
      </w:pPr>
      <w:r>
        <w:rPr>
          <w:b/>
          <w:sz w:val="18"/>
          <w:szCs w:val="18"/>
        </w:rPr>
        <w:t xml:space="preserve">Erstellt am: </w:t>
      </w:r>
      <w:r>
        <w:rPr>
          <w:sz w:val="18"/>
          <w:szCs w:val="18"/>
        </w:rPr>
        <w:t xml:space="preserve">2026-09-04T04:54:46.714Z</w:t>
      </w:r>
    </w:p>
    <w:p>
      <w:pPr>
        <w:spacing w:after="20"/>
      </w:pPr>
      <w:r>
        <w:rPr>
          <w:b/>
          <w:sz w:val="18"/>
          <w:szCs w:val="18"/>
        </w:rPr>
        <w:t xml:space="preserve">Report-Status: </w:t>
      </w:r>
      <w:r>
        <w:rPr>
          <w:sz w:val="18"/>
          <w:szCs w:val="18"/>
        </w:rPr>
        <w:t xml:space="preserve">Vorläufig klassifiziert</w:t>
      </w:r>
    </w:p>
    <w:p>
      <w:pPr>
        <w:spacing w:after="20"/>
      </w:pPr>
      <w:r>
        <w:rPr>
          <w:b/>
          <w:sz w:val="18"/>
          <w:szCs w:val="18"/>
        </w:rPr>
        <w:t xml:space="preserve">Integritäts-Hash: </w:t>
      </w:r>
      <w:r>
        <w:rPr>
          <w:sz w:val="18"/>
          <w:szCs w:val="18"/>
        </w:rPr>
        <w:t xml:space="preserve">0a5ae27ecc99dcac…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Dieser Report basiert ausschließlich auf synthetischen Daten (Pilotbetrieb). Keine echten personenbezogenen Daten.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Dieser Report bescheinigt keine Rechtskonformität.</w:t>
      </w:r>
    </w:p>
    <w:p>
      <w:pPr>
        <w:spacing w:before="160" w:after="60"/>
      </w:pPr>
      <w:r>
        <w:rPr>
          <w:b/>
          <w:sz w:val="30"/>
          <w:szCs w:val="30"/>
        </w:rPr>
        <w:t xml:space="preserve">Zusammenfassung für Entscheider</w:t>
      </w:r>
    </w:p>
    <w:p>
      <w:pPr>
        <w:spacing w:after="60"/>
      </w:pPr>
      <w:r>
        <w:rPr>
          <w:sz w:val="19"/>
          <w:szCs w:val="19"/>
        </w:rPr>
        <w:t xml:space="preserve">Klassifikation und Analyse synthetischer Entscheidungsmetadaten zur Governance-Nachvollziehbarkeit — DecisionTrust bleibt externes Quellsystem.</w:t>
      </w:r>
    </w:p>
    <w:p>
      <w:pPr>
        <w:spacing w:after="20"/>
      </w:pPr>
      <w:r>
        <w:rPr>
          <w:b/>
          <w:sz w:val="18"/>
          <w:szCs w:val="18"/>
        </w:rPr>
        <w:t xml:space="preserve">Zweckbestimmung: </w:t>
      </w:r>
      <w:r>
        <w:rPr>
          <w:sz w:val="18"/>
          <w:szCs w:val="18"/>
        </w:rPr>
        <w:t xml:space="preserve">Nachvollziehbare Entscheidungsdokumentation mit menschlicher Prüfung — keine automatisierten Entscheidungen.</w:t>
      </w:r>
    </w:p>
    <w:p>
      <w:pPr>
        <w:spacing w:after="20"/>
      </w:pPr>
      <w:r>
        <w:rPr>
          <w:b/>
          <w:sz w:val="18"/>
          <w:szCs w:val="18"/>
        </w:rPr>
        <w:t xml:space="preserve">Vorläufige Risikoklasse: </w:t>
      </w:r>
      <w:r>
        <w:rPr>
          <w:sz w:val="18"/>
          <w:szCs w:val="18"/>
        </w:rPr>
        <w:t xml:space="preserve">Minimales Risiko — Basisdokumentation</w:t>
      </w:r>
    </w:p>
    <w:p>
      <w:pPr>
        <w:spacing w:after="20"/>
      </w:pPr>
      <w:r>
        <w:rPr>
          <w:b/>
          <w:sz w:val="18"/>
          <w:szCs w:val="18"/>
        </w:rPr>
        <w:t xml:space="preserve">Menschliche Aufsicht erforderlich: </w:t>
      </w:r>
      <w:r>
        <w:rPr>
          <w:sz w:val="18"/>
          <w:szCs w:val="18"/>
        </w:rPr>
        <w:t xml:space="preserve">Nein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0/0 Kontrollen mit Nachweis/geprüft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Governance Readiness bezeichnet den Vorbereitungsgrad (Nachweise vorhanden/geprüft) — sie bescheinigt keine Konformität.</w:t>
      </w:r>
    </w:p>
    <w:p>
      <w:pPr>
        <w:spacing w:before="160" w:after="60"/>
      </w:pPr>
      <w:r>
        <w:rPr>
          <w:b/>
          <w:sz w:val="30"/>
          <w:szCs w:val="30"/>
        </w:rPr>
        <w:t xml:space="preserve">Use-Case-Profil</w:t>
      </w:r>
    </w:p>
    <w:p>
      <w:pPr>
        <w:spacing w:after="20"/>
      </w:pPr>
      <w:r>
        <w:rPr>
          <w:b/>
          <w:sz w:val="18"/>
          <w:szCs w:val="18"/>
        </w:rPr>
        <w:t xml:space="preserve">Zweckbestimmung: </w:t>
      </w:r>
      <w:r>
        <w:rPr>
          <w:sz w:val="18"/>
          <w:szCs w:val="18"/>
        </w:rPr>
        <w:t xml:space="preserve">Nachvollziehbare Entscheidungsdokumentation mit menschlicher Prüfung — keine automatisierten Entscheidungen.</w:t>
      </w:r>
    </w:p>
    <w:p>
      <w:pPr>
        <w:spacing w:after="20"/>
      </w:pPr>
      <w:r>
        <w:rPr>
          <w:b/>
          <w:sz w:val="18"/>
          <w:szCs w:val="18"/>
        </w:rPr>
        <w:t xml:space="preserve">Betroffene Personengruppen: </w:t>
      </w:r>
      <w:r>
        <w:rPr>
          <w:sz w:val="18"/>
          <w:szCs w:val="18"/>
        </w:rPr>
        <w:t xml:space="preserve">—</w:t>
      </w:r>
    </w:p>
    <w:p>
      <w:pPr>
        <w:spacing w:after="20"/>
      </w:pPr>
      <w:r>
        <w:rPr>
          <w:b/>
          <w:sz w:val="18"/>
          <w:szCs w:val="18"/>
        </w:rPr>
        <w:t xml:space="preserve">Datenquellen: </w:t>
      </w:r>
      <w:r>
        <w:rPr>
          <w:sz w:val="18"/>
          <w:szCs w:val="18"/>
        </w:rPr>
        <w:t xml:space="preserve">entscheidungsmetadaten_synthetisch</w:t>
      </w:r>
    </w:p>
    <w:p>
      <w:pPr>
        <w:spacing w:after="20"/>
      </w:pPr>
      <w:r>
        <w:rPr>
          <w:b/>
          <w:sz w:val="18"/>
          <w:szCs w:val="18"/>
        </w:rPr>
        <w:t xml:space="preserve">KI-Funktion: </w:t>
      </w:r>
      <w:r>
        <w:rPr>
          <w:sz w:val="18"/>
          <w:szCs w:val="18"/>
        </w:rPr>
        <w:t xml:space="preserve">classification, analysis</w:t>
      </w:r>
    </w:p>
    <w:p>
      <w:pPr>
        <w:spacing w:after="20"/>
      </w:pPr>
      <w:r>
        <w:rPr>
          <w:b/>
          <w:sz w:val="18"/>
          <w:szCs w:val="18"/>
        </w:rPr>
        <w:t xml:space="preserve">Mögliche Auswirkungen: </w:t>
      </w:r>
      <w:r>
        <w:rPr>
          <w:sz w:val="18"/>
          <w:szCs w:val="18"/>
        </w:rPr>
        <w:t xml:space="preserve">operativ, nachvollziehbarkeit</w:t>
      </w:r>
    </w:p>
    <w:p>
      <w:pPr>
        <w:spacing w:after="20"/>
      </w:pPr>
      <w:r>
        <w:rPr>
          <w:b/>
          <w:sz w:val="18"/>
          <w:szCs w:val="18"/>
        </w:rPr>
        <w:t xml:space="preserve">Rechtsraum: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Quellsystem: </w:t>
      </w:r>
      <w:r>
        <w:rPr>
          <w:sz w:val="18"/>
          <w:szCs w:val="18"/>
        </w:rPr>
        <w:t xml:space="preserve">decision-trust</w:t>
      </w:r>
    </w:p>
    <w:p>
      <w:pPr>
        <w:spacing w:after="20"/>
      </w:pPr>
      <w:r>
        <w:rPr>
          <w:b/>
          <w:sz w:val="18"/>
          <w:szCs w:val="18"/>
        </w:rPr>
        <w:t xml:space="preserve">Lebenszyklus-Status: </w:t>
      </w:r>
      <w:r>
        <w:rPr>
          <w:sz w:val="18"/>
          <w:szCs w:val="18"/>
        </w:rPr>
        <w:t xml:space="preserve">Vorläufig klassifiziert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Risikobewertung (vorläufig)</w:t>
      </w:r>
    </w:p>
    <w:p>
      <w:pPr>
        <w:spacing w:after="20"/>
      </w:pPr>
      <w:r>
        <w:rPr>
          <w:b/>
          <w:sz w:val="18"/>
          <w:szCs w:val="18"/>
        </w:rPr>
        <w:t xml:space="preserve">Vorläufige Risikoklasse: </w:t>
      </w:r>
      <w:r>
        <w:rPr>
          <w:sz w:val="18"/>
          <w:szCs w:val="18"/>
        </w:rPr>
        <w:t xml:space="preserve">Minimales Risiko — Basisdokumentation</w:t>
      </w:r>
    </w:p>
    <w:p>
      <w:pPr>
        <w:spacing w:after="20"/>
      </w:pPr>
      <w:r>
        <w:rPr>
          <w:b/>
          <w:sz w:val="18"/>
          <w:szCs w:val="18"/>
        </w:rPr>
        <w:t xml:space="preserve">Konfidenz der Einschätzung: </w:t>
      </w:r>
      <w:r>
        <w:rPr>
          <w:sz w:val="18"/>
          <w:szCs w:val="18"/>
        </w:rPr>
        <w:t xml:space="preserve">high</w:t>
      </w:r>
    </w:p>
    <w:p>
      <w:pPr>
        <w:spacing w:after="20"/>
      </w:pPr>
      <w:r>
        <w:rPr>
          <w:b/>
          <w:sz w:val="18"/>
          <w:szCs w:val="18"/>
        </w:rPr>
        <w:t xml:space="preserve">Regelset: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Menschliche Prüfung erforderlich: </w:t>
      </w:r>
      <w:r>
        <w:rPr>
          <w:sz w:val="18"/>
          <w:szCs w:val="18"/>
        </w:rPr>
        <w:t xml:space="preserve">Nein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Die Risikoklassifikation ist vorläufig und ersetzt keine rechtliche Bewertung.</w:t>
      </w:r>
    </w:p>
    <w:p>
      <w:pPr>
        <w:spacing w:before="160" w:after="60"/>
      </w:pPr>
      <w:r>
        <w:rPr>
          <w:b/>
          <w:sz w:val="25"/>
          <w:szCs w:val="25"/>
        </w:rPr>
        <w:t xml:space="preserve">Begründung (Regelbezug)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R-BASE-00 — Keine Risikoregel ausgelöst — Basisdokumentation und regelmäßige Neubewertung.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Unsicherheit der Einschätzung</w:t>
      </w:r>
    </w:p>
    <w:p>
      <w:pPr>
        <w:spacing w:after="60"/>
      </w:pPr>
      <w:r>
        <w:rPr>
          <w:sz w:val="19"/>
          <w:szCs w:val="19"/>
        </w:rPr>
        <w:t xml:space="preserve">Regelset v0.1 arbeitet mit internen Prüfheuristiken zu EU AI Act, DSGVO/GDPR, Schweizer DSG und UK-Kontext. Die Einschätzung hängt von der Vollständigkeit der Registry-Angaben ab und ersetzt keine juristische Prüfung.</w:t>
      </w:r>
    </w:p>
    <w:p>
      <w:pPr>
        <w:spacing w:before="160" w:after="60"/>
      </w:pPr>
      <w:r>
        <w:rPr>
          <w:b/>
          <w:sz w:val="30"/>
          <w:szCs w:val="30"/>
        </w:rPr>
        <w:t xml:space="preserve">Policy- &amp; Kontroll-Übersicht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Kontrollstatus dokumentiert Prüfung der Nachweise — er bescheinigt keine Konformität.</w:t>
      </w:r>
    </w:p>
    <w:p>
      <w:pPr>
        <w:spacing w:after="60"/>
      </w:pPr>
      <w:r>
        <w:rPr>
          <w:sz w:val="19"/>
          <w:szCs w:val="19"/>
        </w:rPr>
        <w:t xml:space="preserve">Use Case ist noch nicht klassifiziert — Kontrollen liegen erst nach der Risikoklassifikation vor.</w:t>
      </w:r>
    </w:p>
    <w:p>
      <w:pPr>
        <w:spacing w:before="160" w:after="60"/>
      </w:pPr>
      <w:r>
        <w:rPr>
          <w:b/>
          <w:sz w:val="30"/>
          <w:szCs w:val="30"/>
        </w:rPr>
        <w:t xml:space="preserve">Menschliche Aufsicht</w:t>
      </w:r>
    </w:p>
    <w:p>
      <w:pPr>
        <w:spacing w:after="20"/>
      </w:pPr>
      <w:r>
        <w:rPr>
          <w:b/>
          <w:sz w:val="18"/>
          <w:szCs w:val="18"/>
        </w:rPr>
        <w:t xml:space="preserve">Verantwortlicher Mensch: </w:t>
      </w:r>
      <w:r>
        <w:rPr>
          <w:sz w:val="18"/>
          <w:szCs w:val="18"/>
        </w:rPr>
        <w:t xml:space="preserve">Oversight-Zuordnung ausstehend — vor Freigabe ist ein final responsible human zu benennen.</w:t>
      </w:r>
    </w:p>
    <w:p>
      <w:pPr>
        <w:spacing w:after="20"/>
      </w:pPr>
      <w:r>
        <w:rPr>
          <w:b/>
          <w:sz w:val="18"/>
          <w:szCs w:val="18"/>
        </w:rPr>
        <w:t xml:space="preserve">Prüfende Person: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Die menschliche Verantwortung bleibt verpflichtend; KI trifft keine automatischen Entscheidungen über Personen.</w:t>
      </w:r>
    </w:p>
    <w:p>
      <w:pPr>
        <w:spacing w:before="160" w:after="60"/>
      </w:pPr>
      <w:r>
        <w:rPr>
          <w:b/>
          <w:sz w:val="25"/>
          <w:szCs w:val="25"/>
        </w:rPr>
        <w:t xml:space="preserve">Review-Historie</w:t>
      </w:r>
    </w:p>
    <w:p>
      <w:pPr>
        <w:spacing w:after="60"/>
      </w:pPr>
      <w:r>
        <w:rPr>
          <w:sz w:val="19"/>
          <w:szCs w:val="19"/>
        </w:rPr>
        <w:t xml:space="preserve">Noch keine Review-Entscheidungen erfasst.</w:t>
      </w:r>
    </w:p>
    <w:p>
      <w:pPr>
        <w:spacing w:before="160" w:after="60"/>
      </w:pPr>
      <w:r>
        <w:rPr>
          <w:b/>
          <w:sz w:val="30"/>
          <w:szCs w:val="30"/>
        </w:rPr>
        <w:t xml:space="preserve">Evidenz-Zusammenfassung</w:t>
      </w:r>
    </w:p>
    <w:p>
      <w:pPr>
        <w:spacing w:after="20"/>
      </w:pPr>
      <w:r>
        <w:rPr>
          <w:b/>
          <w:sz w:val="18"/>
          <w:szCs w:val="18"/>
        </w:rPr>
        <w:t xml:space="preserve">Status der Evidenz-Kette: </w:t>
      </w:r>
      <w:r>
        <w:rPr>
          <w:sz w:val="18"/>
          <w:szCs w:val="18"/>
        </w:rPr>
        <w:t xml:space="preserve">ungültig (Manipulationsverdacht)</w:t>
      </w:r>
    </w:p>
    <w:p>
      <w:pPr>
        <w:spacing w:after="20"/>
      </w:pPr>
      <w:r>
        <w:rPr>
          <w:b/>
          <w:sz w:val="18"/>
          <w:szCs w:val="18"/>
        </w:rPr>
        <w:t xml:space="preserve">Anzahl Evidence-Ereignisse: </w:t>
      </w:r>
      <w:r>
        <w:rPr>
          <w:sz w:val="18"/>
          <w:szCs w:val="18"/>
        </w:rPr>
        <w:t xml:space="preserve">24</w:t>
      </w:r>
    </w:p>
    <w:p>
      <w:pPr>
        <w:spacing w:after="20"/>
      </w:pPr>
      <w:r>
        <w:rPr>
          <w:b/>
          <w:sz w:val="18"/>
          <w:szCs w:val="18"/>
        </w:rPr>
        <w:t xml:space="preserve">Verifikation bestanden: </w:t>
      </w:r>
      <w:r>
        <w:rPr>
          <w:sz w:val="18"/>
          <w:szCs w:val="18"/>
        </w:rPr>
        <w:t xml:space="preserve">Nein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Simulierte Verankerung (PageCipher-Integration ausstehend) — als Simulation gekennzeichnet.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Zeitstempel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Aktion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318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2026-08-31T04:58:09.954Z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c40aa6075f94…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320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2026-08-31T04:58:10.457Z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d7d3e29581f5…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322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2026-08-31T04:58:11.008Z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8b653277f93c…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324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2026-08-31T04:58:11.494Z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bb5eebe01aa8…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326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2026-08-31T04:58:11.951Z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36707f18686e…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332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2026-08-31T04:58:15.440Z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16c864d9049e…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338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2026-08-31T04:58:16.990Z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51bdd2d4979d…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340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2026-08-31T04:58:17.487Z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4bc05ba91261…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354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2026-08-31T04:58:20.968Z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b2cd025b9231…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358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2026-08-31T04:58:21.981Z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ece76724e32b…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366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2026-08-31T04:58:23.933Z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8854265e97ab…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368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2026-08-31T04:58:24.443Z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1eb2dc6636bb…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372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2026-08-31T04:58:25.455Z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f6b56d1c6921…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374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2026-08-31T04:58:25.975Z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49c9a844ac2f…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PageCipher-Ankerstatus</w:t>
      </w:r>
    </w:p>
    <w:p>
      <w:pPr>
        <w:spacing w:after="20"/>
      </w:pPr>
      <w:r>
        <w:rPr>
          <w:b/>
          <w:sz w:val="18"/>
          <w:szCs w:val="18"/>
        </w:rPr>
        <w:t xml:space="preserve">PageCipher-Integrationsstatus: </w:t>
      </w:r>
      <w:r>
        <w:rPr>
          <w:sz w:val="18"/>
          <w:szCs w:val="18"/>
        </w:rPr>
        <w:t xml:space="preserve">Aktiv (HTTP-Anbindung an PageCipher)</w:t>
      </w:r>
    </w:p>
    <w:p>
      <w:pPr>
        <w:spacing w:after="20"/>
      </w:pPr>
      <w:r>
        <w:rPr>
          <w:b/>
          <w:sz w:val="18"/>
          <w:szCs w:val="18"/>
        </w:rPr>
        <w:t xml:space="preserve">PageCipher-Ankerstatus: </w:t>
      </w:r>
      <w:r>
        <w:rPr>
          <w:sz w:val="18"/>
          <w:szCs w:val="18"/>
        </w:rPr>
        <w:t xml:space="preserve">19/24 Verankert</w:t>
      </w:r>
    </w:p>
    <w:p>
      <w:pPr>
        <w:spacing w:after="20"/>
      </w:pPr>
      <w:r>
        <w:rPr>
          <w:b/>
          <w:sz w:val="18"/>
          <w:szCs w:val="18"/>
        </w:rPr>
        <w:t xml:space="preserve">PageCipher-Ankerreferenz: </w:t>
      </w:r>
      <w:r>
        <w:rPr>
          <w:sz w:val="18"/>
          <w:szCs w:val="18"/>
        </w:rPr>
        <w:t xml:space="preserve">pagecipher:4bd03610b075ef30d577a03b78d9957e</w:t>
      </w:r>
    </w:p>
    <w:p>
      <w:pPr>
        <w:spacing w:after="20"/>
      </w:pPr>
      <w:r>
        <w:rPr>
          <w:b/>
          <w:sz w:val="18"/>
          <w:szCs w:val="18"/>
        </w:rPr>
        <w:t xml:space="preserve">Letzter Ankerversuch: </w:t>
      </w:r>
      <w:r>
        <w:rPr>
          <w:sz w:val="18"/>
          <w:szCs w:val="18"/>
        </w:rPr>
        <w:t xml:space="preserve">2026-08-31T04:58:25.978Z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Der PageCipher-Anker belegt die Integrität und Herkunft der Evidenz — er bescheinigt keine Rechtskonformität.</w:t>
      </w:r>
    </w:p>
    <w:p>
      <w:pPr>
        <w:spacing w:before="160" w:after="60"/>
      </w:pPr>
      <w:r>
        <w:rPr>
          <w:b/>
          <w:sz w:val="30"/>
          <w:szCs w:val="30"/>
        </w:rPr>
        <w:t xml:space="preserve">Offene Risiken &amp; Lücken</w:t>
      </w:r>
    </w:p>
    <w:p>
      <w:pPr>
        <w:spacing w:after="60"/>
      </w:pPr>
      <w:r>
        <w:rPr>
          <w:sz w:val="19"/>
          <w:szCs w:val="19"/>
        </w:rPr>
        <w:t xml:space="preserve">Keine offenen Punkte erfasst.</w:t>
      </w:r>
    </w:p>
    <w:p>
      <w:pPr>
        <w:spacing w:before="160" w:after="60"/>
      </w:pPr>
      <w:r>
        <w:rPr>
          <w:b/>
          <w:sz w:val="30"/>
          <w:szCs w:val="30"/>
        </w:rPr>
        <w:t xml:space="preserve">Rechtliche Hinweise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Dieser Report bescheinigt keine Rechtskonformität.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 Risikoklassifikation ist vorläufig und ersetzt keine rechtliche Bewertung.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 rechtliche Bewertung kann eine spezialisierte juristische Prüfung erfordern.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Dieser Bericht dient der Governance- und Compliance-Vorbereitung auf Evidenzbasis. Er stellt keine Rechtsberatung, keine Zertifizierung und keine Konformitätsbescheinigung dar.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 menschliche Verantwortung bleibt verpflichtend; KI trifft keine automatischen Entscheidungen über Personen.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Anhang</w:t>
      </w:r>
    </w:p>
    <w:p>
      <w:pPr>
        <w:spacing w:before="160" w:after="60"/>
      </w:pPr>
      <w:r>
        <w:rPr>
          <w:b/>
          <w:sz w:val="25"/>
          <w:szCs w:val="25"/>
        </w:rPr>
        <w:t xml:space="preserve">Kontrollkatalog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Kontrolle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Quelle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Fundstelle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Prüfung auf verbotene Praktiken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Risikomanagementsystem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Daten-Governance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Technische Dokumentation (Annex-IV-nah)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Protokollierung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Transparenz &amp; Kennzeichnung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Menschliche Aufsicht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Genauigkeit, Robustheit, Cybersicherheit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Rechtmäßigkeit der Verarbeitung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Datenminimierung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Datenschutz-Folgenabschätzung (DSFA)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Betroffenenrechte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Bias-Monitoring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KI-Kompetenz der Beteiligten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Zugriffskontrolle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Audit-/Evidenz-Kette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Erzeugungs-Metadaten</w:t>
      </w:r>
    </w:p>
    <w:p>
      <w:pPr>
        <w:spacing w:after="20"/>
      </w:pPr>
      <w:r>
        <w:rPr>
          <w:b/>
          <w:sz w:val="18"/>
          <w:szCs w:val="18"/>
        </w:rPr>
        <w:t xml:space="preserve">Erstellt am: </w:t>
      </w:r>
      <w:r>
        <w:rPr>
          <w:sz w:val="18"/>
          <w:szCs w:val="18"/>
        </w:rPr>
        <w:t xml:space="preserve">2026-09-04T04:54:46.714Z</w:t>
      </w:r>
    </w:p>
    <w:p>
      <w:pPr>
        <w:spacing w:after="20"/>
      </w:pPr>
      <w:r>
        <w:rPr>
          <w:b/>
          <w:sz w:val="18"/>
          <w:szCs w:val="18"/>
        </w:rPr>
        <w:t xml:space="preserve">Version: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Sprachabdeckung: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Anzahl Evidence-Ereignisse: </w:t>
      </w:r>
      <w:r>
        <w:rPr>
          <w:sz w:val="18"/>
          <w:szCs w:val="18"/>
        </w:rPr>
        <w:t xml:space="preserve">697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