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Υποστήριξη πλαισίου απόφασης (DecisionTrust)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uc_dt_001 (v1)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2026-09-04T08:19:03.221Z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3b28274112bd8fc4…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Ταξινόμηση και ανάλυση συνθετικών μεταδεδομένων απόφασης για ιχνηλασιμότητα διακυβέρνησης — το DecisionTrust παραμένει εξωτερικό σύστημα πηγής.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Ιχνηλάσιμη τεκμηρίωση αποφάσεων με ανθρώπινο έλεγχο — χωρίς αυτοματοποιημένες αποφάσεις.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Ελάχιστος κίνδυνος — βασική τεκμηρίωση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Όχι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0/0 Έλεγχοι με αποδεικτικό στοιχείο/ελεγμένοι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Ιχνηλάσιμη τεκμηρίωση αποφάσεων με ανθρώπινο έλεγχο — χωρίς αυτοματοποιημένες αποφάσεις.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entscheidungsmetadaten_synthetisch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classification, analysis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decision-trust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Ελάχιστος κίνδυνος — βασική τεκμηρίωση</w:t>
      </w:r>
    </w:p>
    <w:p>
      <w:pPr>
        <w:spacing w:after="20"/>
      </w:pPr>
      <w:r>
        <w:rPr>
          <w:b/>
          <w:sz w:val="18"/>
          <w:szCs w:val="18"/>
        </w:rPr>
        <w:t xml:space="preserve">Βαθμός βεβαιότητας της εκτίμησης: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Σύνολο κανόνων: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ανθρώπινος έλεγχος: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ταξινόμηση κινδύνου είναι προκαταρκτική και δεν υποκαθιστά νομική αξιολόγηση.</w:t>
      </w:r>
    </w:p>
    <w:p>
      <w:pPr>
        <w:spacing w:before="160" w:after="60"/>
      </w:pPr>
      <w:r>
        <w:rPr>
          <w:b/>
          <w:sz w:val="25"/>
          <w:szCs w:val="25"/>
        </w:rPr>
        <w:t xml:space="preserve">Αιτιολόγηση (αναφορά κανόνα)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Δεν ενεργοποιήθηκε κανένας κανόνας κινδύνου — βασική τεκμηρίωση και τακτική επαναξιολόγηση.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Αβεβαιότητα της εκτίμησης</w:t>
      </w:r>
    </w:p>
    <w:p>
      <w:pPr>
        <w:spacing w:after="60"/>
      </w:pPr>
      <w:r>
        <w:rPr>
          <w:sz w:val="19"/>
          <w:szCs w:val="19"/>
        </w:rPr>
        <w:t xml:space="preserve">Το σετ κανόνων v0.1 λειτουργεί με εσωτερικές ευρετικές ελέγχου σχετικά με το EU AI Act, τον GDPR/DSGVO, τον ελβετικό DSG και το πλαίσιο του Ηνωμένου Βασιλείου. Η εκτίμηση εξαρτάται από την πληρότητα των στοιχείων του Registry και δεν υποκαθιστά νομικό έλεγχο.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p>
      <w:pPr>
        <w:spacing w:after="60"/>
      </w:pPr>
      <w:r>
        <w:rPr>
          <w:sz w:val="19"/>
          <w:szCs w:val="19"/>
        </w:rPr>
        <w:t xml:space="preserve">Η περίπτωση χρήσης δεν έχει ταξινομηθεί ακόμη — οι έλεγχοι διατίθενται μόνο μετά την ταξινόμηση κινδύνου.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Ανάθεση εποπτείας σε εκκρεμότητα — πριν από την έγκριση πρέπει να οριστεί ένας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p>
      <w:pPr>
        <w:spacing w:after="60"/>
      </w:pPr>
      <w:r>
        <w:rPr>
          <w:sz w:val="19"/>
          <w:szCs w:val="19"/>
        </w:rPr>
        <w:t xml:space="preserve">Δεν έχουν καταγραφεί ακόμη αποφάσεις αναθεώρησης.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45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2026-09-04T07:27:23.964Z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6d2da0731338…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2026-09-04T07:27:24.013Z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15655a4adfc5…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2026-09-04T07:27:24.158Z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4c40ae4653dc…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2026-09-04T07:28:47.808Z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b3884122adda…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2026-09-04T07:29:51.933Z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55d8385da23c…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2026-09-04T07:30:44.406Z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da59b5be01f5…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2026-09-04T07:40:16.413Z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5cea2a1066c1…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2026-09-04T07:40:17.684Z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e8e3807ce49f…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2026-09-04T07:40:19.919Z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16014df12e83…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2026-09-04T07:40:43.227Z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f9490e471dc8…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2026-09-04T07:40:44.738Z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881f29d630ab…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2026-09-04T07:41:28.473Z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b26ba71ecb80…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2026-09-04T07:41:31.019Z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246e12411b87…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2026-09-04T07:42:03.785Z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58a620b6a5e7…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40/45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pagecipher:4bd03610b075ef30d577a03b78d9957e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2026-09-04T07:42:03.793Z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spacing w:after="60"/>
      </w:pPr>
      <w:r>
        <w:rPr>
          <w:sz w:val="19"/>
          <w:szCs w:val="19"/>
        </w:rPr>
        <w:t xml:space="preserve">Δεν καταγράφηκαν ανοικτά σημεία.</w:t>
      </w: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2026-09-04T08:19:03.221Z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1226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