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Assistance au contexte de décision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2026-09-04T07:40:19.907Z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495e9d8abd7fd130…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Classification et analyse de métadonnées de décision synthétiques pour la traçabilité de gouvernance — DecisionTrust reste un système source externe.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Documentation de décision traçable avec revue humaine — aucune décision automatisée.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minimal — documentation de base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0/0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Documentation de décision traçable avec revue humaine — aucune décision automatisée.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minimal — documentation de base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Aucune règle de risque déclenchée — documentation de base et réévaluation régulière.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39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2026-09-04T04:55:26.446Z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37fe42589ca0…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2026-09-04T05:43:28.352Z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fb2ce837b47f…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2026-09-04T06:35:19.200Z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1648a0f361e7…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2026-09-04T06:36:29.977Z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f9e81719eb16…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2026-09-04T06:47:51.463Z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bb2179c0e609…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2026-09-04T07:26:50.182Z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f37ac7acca2a…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2026-09-04T07:27:23.964Z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6d2da0731338…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15655a4adfc5…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4c40ae4653dc…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2026-09-04T07:28:47.808Z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b3884122adda…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2026-09-04T07:29:51.933Z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55d8385da23c…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2026-09-04T07:30:44.406Z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da59b5be01f5…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2026-09-04T07:40:16.413Z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5cea2a1066c1…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2026-09-04T07:40:17.684Z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e8e3807ce49f…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34/39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2026-09-04T07:40:17.690Z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spacing w:after="60"/>
      </w:pPr>
      <w:r>
        <w:rPr>
          <w:sz w:val="19"/>
          <w:szCs w:val="19"/>
        </w:rPr>
        <w:t xml:space="preserve">Aucun point ouvert enregistré.</w:t>
      </w: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2026-09-04T07:40:19.907Z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1089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