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Governance-rapport — Beslissingscontext-assistentie (DecisionTrust)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voorbereiding van governance, assurance-ondersteuning en auditklaar bewijs. Geen bewijs van rechtsconformiteit.</w:t>
      </w:r>
    </w:p>
    <w:p>
      <w:pPr>
        <w:spacing w:after="20"/>
      </w:pPr>
      <w:r>
        <w:rPr>
          <w:b/>
          <w:sz w:val="18"/>
          <w:szCs w:val="18"/>
        </w:rPr>
        <w:t xml:space="preserve">Product: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uc_dt_001 (v1)</w:t>
      </w:r>
    </w:p>
    <w:p>
      <w:pPr>
        <w:spacing w:after="20"/>
      </w:pPr>
      <w:r>
        <w:rPr>
          <w:b/>
          <w:sz w:val="18"/>
          <w:szCs w:val="18"/>
        </w:rPr>
        <w:t xml:space="preserve">Bronsysteem: </w:t>
      </w:r>
      <w:r>
        <w:rPr>
          <w:sz w:val="18"/>
          <w:szCs w:val="18"/>
        </w:rPr>
        <w:t xml:space="preserve">decision-trust</w:t>
      </w:r>
    </w:p>
    <w:p>
      <w:pPr>
        <w:spacing w:after="20"/>
      </w:pPr>
      <w:r>
        <w:rPr>
          <w:b/>
          <w:sz w:val="18"/>
          <w:szCs w:val="18"/>
        </w:rPr>
        <w:t xml:space="preserve">Taal: </w:t>
      </w:r>
      <w:r>
        <w:rPr>
          <w:sz w:val="18"/>
          <w:szCs w:val="18"/>
        </w:rPr>
        <w:t xml:space="preserve">NL</w:t>
      </w:r>
    </w:p>
    <w:p>
      <w:pPr>
        <w:spacing w:after="20"/>
      </w:pPr>
      <w:r>
        <w:rPr>
          <w:b/>
          <w:sz w:val="18"/>
          <w:szCs w:val="18"/>
        </w:rPr>
        <w:t xml:space="preserve">Gegevensmodus: </w:t>
      </w:r>
      <w:r>
        <w:rPr>
          <w:sz w:val="18"/>
          <w:szCs w:val="18"/>
        </w:rPr>
        <w:t xml:space="preserve">synthetisch</w:t>
      </w:r>
    </w:p>
    <w:p>
      <w:pPr>
        <w:spacing w:after="20"/>
      </w:pPr>
      <w:r>
        <w:rPr>
          <w:b/>
          <w:sz w:val="18"/>
          <w:szCs w:val="18"/>
        </w:rPr>
        <w:t xml:space="preserve">Aangemaakt op: </w:t>
      </w:r>
      <w:r>
        <w:rPr>
          <w:sz w:val="18"/>
          <w:szCs w:val="18"/>
        </w:rPr>
        <w:t xml:space="preserve">2026-09-04T07:40:43.214Z</w:t>
      </w:r>
    </w:p>
    <w:p>
      <w:pPr>
        <w:spacing w:after="20"/>
      </w:pPr>
      <w:r>
        <w:rPr>
          <w:b/>
          <w:sz w:val="18"/>
          <w:szCs w:val="18"/>
        </w:rPr>
        <w:t xml:space="preserve">Rapportstatus: </w:t>
      </w:r>
      <w:r>
        <w:rPr>
          <w:sz w:val="18"/>
          <w:szCs w:val="18"/>
        </w:rPr>
        <w:t xml:space="preserve">Voorlopig geclassificeerd</w:t>
      </w:r>
    </w:p>
    <w:p>
      <w:pPr>
        <w:spacing w:after="20"/>
      </w:pPr>
      <w:r>
        <w:rPr>
          <w:b/>
          <w:sz w:val="18"/>
          <w:szCs w:val="18"/>
        </w:rPr>
        <w:t xml:space="preserve">Integriteits-hash: </w:t>
      </w:r>
      <w:r>
        <w:rPr>
          <w:sz w:val="18"/>
          <w:szCs w:val="18"/>
        </w:rPr>
        <w:t xml:space="preserve">5771a2890a1c0663…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Dit rapport is uitsluitend gebaseerd op synthetische gegevens (pilotbedrijf). Geen echte persoonsgegevens.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Dit rapport certificeert geen rechtsconformiteit.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Samenvatting voor besluitvormers</w:t>
      </w:r>
    </w:p>
    <w:p>
      <w:pPr>
        <w:spacing w:after="60"/>
      </w:pPr>
      <w:r>
        <w:rPr>
          <w:sz w:val="19"/>
          <w:szCs w:val="19"/>
        </w:rPr>
        <w:t xml:space="preserve">Classificatie en analyse van synthetische beslissingsmetadata voor governance-traceerbaarheid — DecisionTrust blijft een extern bronsysteem.</w:t>
      </w:r>
    </w:p>
    <w:p>
      <w:pPr>
        <w:spacing w:after="20"/>
      </w:pPr>
      <w:r>
        <w:rPr>
          <w:b/>
          <w:sz w:val="18"/>
          <w:szCs w:val="18"/>
        </w:rPr>
        <w:t xml:space="preserve">Beoogd doel: </w:t>
      </w:r>
      <w:r>
        <w:rPr>
          <w:sz w:val="18"/>
          <w:szCs w:val="18"/>
        </w:rPr>
        <w:t xml:space="preserve">Traceerbare beslissingsdocumentatie met menselijke toetsing — geen geautomatiseerde beslissingen.</w:t>
      </w:r>
    </w:p>
    <w:p>
      <w:pPr>
        <w:spacing w:after="20"/>
      </w:pPr>
      <w:r>
        <w:rPr>
          <w:b/>
          <w:sz w:val="18"/>
          <w:szCs w:val="18"/>
        </w:rPr>
        <w:t xml:space="preserve">Voorlopige risicoklasse: </w:t>
      </w:r>
      <w:r>
        <w:rPr>
          <w:sz w:val="18"/>
          <w:szCs w:val="18"/>
        </w:rPr>
        <w:t xml:space="preserve">Minimaal risico — basisdocumentatie</w:t>
      </w:r>
    </w:p>
    <w:p>
      <w:pPr>
        <w:spacing w:after="20"/>
      </w:pPr>
      <w:r>
        <w:rPr>
          <w:b/>
          <w:sz w:val="18"/>
          <w:szCs w:val="18"/>
        </w:rPr>
        <w:t xml:space="preserve">Menselijk toezicht vereist: </w:t>
      </w:r>
      <w:r>
        <w:rPr>
          <w:sz w:val="18"/>
          <w:szCs w:val="18"/>
        </w:rPr>
        <w:t xml:space="preserve">Nee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0/0 Controles met bewijs/getoetst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duidt de mate van voorbereiding aan (bewijzen aanwezig/getoetst) — het certificeert geen 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Use-case-profiel</w:t>
      </w:r>
    </w:p>
    <w:p>
      <w:pPr>
        <w:spacing w:after="20"/>
      </w:pPr>
      <w:r>
        <w:rPr>
          <w:b/>
          <w:sz w:val="18"/>
          <w:szCs w:val="18"/>
        </w:rPr>
        <w:t xml:space="preserve">Beoogd doel: </w:t>
      </w:r>
      <w:r>
        <w:rPr>
          <w:sz w:val="18"/>
          <w:szCs w:val="18"/>
        </w:rPr>
        <w:t xml:space="preserve">Traceerbare beslissingsdocumentatie met menselijke toetsing — geen geautomatiseerde beslissingen.</w:t>
      </w:r>
    </w:p>
    <w:p>
      <w:pPr>
        <w:spacing w:after="20"/>
      </w:pPr>
      <w:r>
        <w:rPr>
          <w:b/>
          <w:sz w:val="18"/>
          <w:szCs w:val="18"/>
        </w:rPr>
        <w:t xml:space="preserve">Betrokken persoonsgroepen: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Gegevensbronnen: </w:t>
      </w:r>
      <w:r>
        <w:rPr>
          <w:sz w:val="18"/>
          <w:szCs w:val="18"/>
        </w:rPr>
        <w:t xml:space="preserve">entscheidungsmetadaten_synthetisch</w:t>
      </w:r>
    </w:p>
    <w:p>
      <w:pPr>
        <w:spacing w:after="20"/>
      </w:pPr>
      <w:r>
        <w:rPr>
          <w:b/>
          <w:sz w:val="18"/>
          <w:szCs w:val="18"/>
        </w:rPr>
        <w:t xml:space="preserve">AI-functie: </w:t>
      </w:r>
      <w:r>
        <w:rPr>
          <w:sz w:val="18"/>
          <w:szCs w:val="18"/>
        </w:rPr>
        <w:t xml:space="preserve">classification, analysis</w:t>
      </w:r>
    </w:p>
    <w:p>
      <w:pPr>
        <w:spacing w:after="20"/>
      </w:pPr>
      <w:r>
        <w:rPr>
          <w:b/>
          <w:sz w:val="18"/>
          <w:szCs w:val="18"/>
        </w:rPr>
        <w:t xml:space="preserve">Mogelijke impact: </w:t>
      </w:r>
      <w:r>
        <w:rPr>
          <w:sz w:val="18"/>
          <w:szCs w:val="18"/>
        </w:rPr>
        <w:t xml:space="preserve">operativ, nachvollziehbarkeit</w:t>
      </w:r>
    </w:p>
    <w:p>
      <w:pPr>
        <w:spacing w:after="20"/>
      </w:pPr>
      <w:r>
        <w:rPr>
          <w:b/>
          <w:sz w:val="18"/>
          <w:szCs w:val="18"/>
        </w:rPr>
        <w:t xml:space="preserve">Rechtsgebied: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Bronsysteem: </w:t>
      </w:r>
      <w:r>
        <w:rPr>
          <w:sz w:val="18"/>
          <w:szCs w:val="18"/>
        </w:rPr>
        <w:t xml:space="preserve">decision-trust</w:t>
      </w:r>
    </w:p>
    <w:p>
      <w:pPr>
        <w:spacing w:after="20"/>
      </w:pPr>
      <w:r>
        <w:rPr>
          <w:b/>
          <w:sz w:val="18"/>
          <w:szCs w:val="18"/>
        </w:rPr>
        <w:t xml:space="preserve">Levenscyclusstatus: </w:t>
      </w:r>
      <w:r>
        <w:rPr>
          <w:sz w:val="18"/>
          <w:szCs w:val="18"/>
        </w:rPr>
        <w:t xml:space="preserve">Voorlopig geclassificeerd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Risicobeoordeling (voorlopig)</w:t>
      </w:r>
    </w:p>
    <w:p>
      <w:pPr>
        <w:spacing w:after="20"/>
      </w:pPr>
      <w:r>
        <w:rPr>
          <w:b/>
          <w:sz w:val="18"/>
          <w:szCs w:val="18"/>
        </w:rPr>
        <w:t xml:space="preserve">Voorlopige risicoklasse: </w:t>
      </w:r>
      <w:r>
        <w:rPr>
          <w:sz w:val="18"/>
          <w:szCs w:val="18"/>
        </w:rPr>
        <w:t xml:space="preserve">Minimaal risico — basisdocumentatie</w:t>
      </w:r>
    </w:p>
    <w:p>
      <w:pPr>
        <w:spacing w:after="20"/>
      </w:pPr>
      <w:r>
        <w:rPr>
          <w:b/>
          <w:sz w:val="18"/>
          <w:szCs w:val="18"/>
        </w:rPr>
        <w:t xml:space="preserve">Betrouwbaarheid van de inschatting: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Regelset: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Menselijke toetsing vereist: </w:t>
      </w:r>
      <w:r>
        <w:rPr>
          <w:sz w:val="18"/>
          <w:szCs w:val="18"/>
        </w:rPr>
        <w:t xml:space="preserve">Nee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risicoclassificatie is voorlopig en vervangt geen juridische beoordeling.</w:t>
      </w:r>
    </w:p>
    <w:p>
      <w:pPr>
        <w:spacing w:before="160" w:after="60"/>
      </w:pPr>
      <w:r>
        <w:rPr>
          <w:b/>
          <w:sz w:val="25"/>
          <w:szCs w:val="25"/>
        </w:rPr>
        <w:t xml:space="preserve">Onderbouwing (regelverwijzing)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R-BASE-00 — Geen risicoregel geactiveerd — basisdocumentatie en periodieke herbeoordeling.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Onzekerheid van de inschatting</w:t>
      </w:r>
    </w:p>
    <w:p>
      <w:pPr>
        <w:spacing w:after="60"/>
      </w:pPr>
      <w:r>
        <w:rPr>
          <w:sz w:val="19"/>
          <w:szCs w:val="19"/>
        </w:rPr>
        <w:t xml:space="preserve">Regelset v0.1 werkt met interne toetsingsheuristieken voor EU AI Act, AVG/GDPR, het Zwitserse DSG en de UK-context. De inschatting hangt af van de volledigheid van de registrygegevens en vervangt geen juridische toetsing.</w:t>
      </w:r>
    </w:p>
    <w:p>
      <w:pPr>
        <w:spacing w:before="160" w:after="60"/>
      </w:pPr>
      <w:r>
        <w:rPr>
          <w:b/>
          <w:sz w:val="30"/>
          <w:szCs w:val="30"/>
        </w:rPr>
        <w:t xml:space="preserve">Overzicht van policy's en controles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controlestatus documenteert de toetsing van de bewijzen — hij certificeert geen conformiteit.</w:t>
      </w:r>
    </w:p>
    <w:p>
      <w:pPr>
        <w:spacing w:after="60"/>
      </w:pPr>
      <w:r>
        <w:rPr>
          <w:sz w:val="19"/>
          <w:szCs w:val="19"/>
        </w:rPr>
        <w:t xml:space="preserve">Use case is nog niet geclassificeerd — controles zijn pas beschikbaar na de risicoclassificatie.</w:t>
      </w:r>
    </w:p>
    <w:p>
      <w:pPr>
        <w:spacing w:before="160" w:after="60"/>
      </w:pPr>
      <w:r>
        <w:rPr>
          <w:b/>
          <w:sz w:val="30"/>
          <w:szCs w:val="30"/>
        </w:rPr>
        <w:t xml:space="preserve">Menselijk toezicht</w:t>
      </w:r>
    </w:p>
    <w:p>
      <w:pPr>
        <w:spacing w:after="20"/>
      </w:pPr>
      <w:r>
        <w:rPr>
          <w:b/>
          <w:sz w:val="18"/>
          <w:szCs w:val="18"/>
        </w:rPr>
        <w:t xml:space="preserve">Verantwoordelijke mens: </w:t>
      </w:r>
      <w:r>
        <w:rPr>
          <w:sz w:val="18"/>
          <w:szCs w:val="18"/>
        </w:rPr>
        <w:t xml:space="preserve">Toewijzing van oversight in afwachting — vóór goedkeuring moet een final responsible human worden aangewezen.</w:t>
      </w:r>
    </w:p>
    <w:p>
      <w:pPr>
        <w:spacing w:after="20"/>
      </w:pPr>
      <w:r>
        <w:rPr>
          <w:b/>
          <w:sz w:val="18"/>
          <w:szCs w:val="18"/>
        </w:rPr>
        <w:t xml:space="preserve">Beoordelaar: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menselijke verantwoordelijkheid blijft verplicht; AI neemt geen automatische beslissingen over personen.</w:t>
      </w:r>
    </w:p>
    <w:p>
      <w:pPr>
        <w:spacing w:before="160" w:after="60"/>
      </w:pPr>
      <w:r>
        <w:rPr>
          <w:b/>
          <w:sz w:val="25"/>
          <w:szCs w:val="25"/>
        </w:rPr>
        <w:t xml:space="preserve">Reviewgeschiedenis</w:t>
      </w:r>
    </w:p>
    <w:p>
      <w:pPr>
        <w:spacing w:after="60"/>
      </w:pPr>
      <w:r>
        <w:rPr>
          <w:sz w:val="19"/>
          <w:szCs w:val="19"/>
        </w:rPr>
        <w:t xml:space="preserve">Nog geen reviewbeslissingen vastgelegd.</w:t>
      </w:r>
    </w:p>
    <w:p>
      <w:pPr>
        <w:spacing w:before="160" w:after="60"/>
      </w:pPr>
      <w:r>
        <w:rPr>
          <w:b/>
          <w:sz w:val="30"/>
          <w:szCs w:val="30"/>
        </w:rPr>
        <w:t xml:space="preserve">Bewijssamenvatting</w:t>
      </w:r>
    </w:p>
    <w:p>
      <w:pPr>
        <w:spacing w:after="20"/>
      </w:pPr>
      <w:r>
        <w:rPr>
          <w:b/>
          <w:sz w:val="18"/>
          <w:szCs w:val="18"/>
        </w:rPr>
        <w:t xml:space="preserve">Status van de bewijsketen: </w:t>
      </w:r>
      <w:r>
        <w:rPr>
          <w:sz w:val="18"/>
          <w:szCs w:val="18"/>
        </w:rPr>
        <w:t xml:space="preserve">ongeldig (vermoeden van manipulatie)</w:t>
      </w:r>
    </w:p>
    <w:p>
      <w:pPr>
        <w:spacing w:after="20"/>
      </w:pPr>
      <w:r>
        <w:rPr>
          <w:b/>
          <w:sz w:val="18"/>
          <w:szCs w:val="18"/>
        </w:rPr>
        <w:t xml:space="preserve">Aantal evidence-gebeurtenissen: </w:t>
      </w:r>
      <w:r>
        <w:rPr>
          <w:sz w:val="18"/>
          <w:szCs w:val="18"/>
        </w:rPr>
        <w:t xml:space="preserve">40</w:t>
      </w:r>
    </w:p>
    <w:p>
      <w:pPr>
        <w:spacing w:after="20"/>
      </w:pPr>
      <w:r>
        <w:rPr>
          <w:b/>
          <w:sz w:val="18"/>
          <w:szCs w:val="18"/>
        </w:rPr>
        <w:t xml:space="preserve">Verificatie geslaagd: </w:t>
      </w:r>
      <w:r>
        <w:rPr>
          <w:sz w:val="18"/>
          <w:szCs w:val="18"/>
        </w:rPr>
        <w:t xml:space="preserve">Nee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Gesimuleerde verankering (PageCipher-integratie in afwachting) — gemarkeerd als simulatie.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Tijdstempel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Actie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738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2026-09-04T05:43:28.352Z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fb2ce837b47f…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786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2026-09-04T06:35:19.200Z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1648a0f361e7…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792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2026-09-04T06:36:29.977Z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f9e81719eb16…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2026-09-04T06:47:51.463Z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bb2179c0e609…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984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2026-09-04T07:26:50.182Z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f37ac7acca2a…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2026-09-04T07:27:23.964Z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6d2da0731338…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995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2026-09-04T07:27:24.013Z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15655a4adfc5…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2026-09-04T07:27:24.158Z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4c40ae4653dc…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1024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2026-09-04T07:28:47.808Z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b3884122adda…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1026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2026-09-04T07:29:51.933Z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55d8385da23c…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1030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2026-09-04T07:30:44.406Z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da59b5be01f5…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1080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2026-09-04T07:40:16.413Z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5cea2a1066c1…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1086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2026-09-04T07:40:17.684Z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e8e3807ce49f…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1090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2026-09-04T07:40:19.919Z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16014df12e83…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PageCipher-ankerstatus</w:t>
      </w:r>
    </w:p>
    <w:p>
      <w:pPr>
        <w:spacing w:after="20"/>
      </w:pPr>
      <w:r>
        <w:rPr>
          <w:b/>
          <w:sz w:val="18"/>
          <w:szCs w:val="18"/>
        </w:rPr>
        <w:t xml:space="preserve">PageCipher-integratiestatus: </w:t>
      </w:r>
      <w:r>
        <w:rPr>
          <w:sz w:val="18"/>
          <w:szCs w:val="18"/>
        </w:rPr>
        <w:t xml:space="preserve">Actief (HTTP-koppeling met PageCipher)</w:t>
      </w:r>
    </w:p>
    <w:p>
      <w:pPr>
        <w:spacing w:after="20"/>
      </w:pPr>
      <w:r>
        <w:rPr>
          <w:b/>
          <w:sz w:val="18"/>
          <w:szCs w:val="18"/>
        </w:rPr>
        <w:t xml:space="preserve">PageCipher-ankerstatus: </w:t>
      </w:r>
      <w:r>
        <w:rPr>
          <w:sz w:val="18"/>
          <w:szCs w:val="18"/>
        </w:rPr>
        <w:t xml:space="preserve">35/40 Verankerd</w:t>
      </w:r>
    </w:p>
    <w:p>
      <w:pPr>
        <w:spacing w:after="20"/>
      </w:pPr>
      <w:r>
        <w:rPr>
          <w:b/>
          <w:sz w:val="18"/>
          <w:szCs w:val="18"/>
        </w:rPr>
        <w:t xml:space="preserve">PageCipher-ankerreferentie: </w:t>
      </w:r>
      <w:r>
        <w:rPr>
          <w:sz w:val="18"/>
          <w:szCs w:val="18"/>
        </w:rPr>
        <w:t xml:space="preserve">pagecipher:4bd03610b075ef30d577a03b78d9957e</w:t>
      </w:r>
    </w:p>
    <w:p>
      <w:pPr>
        <w:spacing w:after="20"/>
      </w:pPr>
      <w:r>
        <w:rPr>
          <w:b/>
          <w:sz w:val="18"/>
          <w:szCs w:val="18"/>
        </w:rPr>
        <w:t xml:space="preserve">Laatste ankerpoging: </w:t>
      </w:r>
      <w:r>
        <w:rPr>
          <w:sz w:val="18"/>
          <w:szCs w:val="18"/>
        </w:rPr>
        <w:t xml:space="preserve">2026-09-04T07:40:19.924Z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Het PageCipher-anker toont de integriteit en herkomst van het bewijs aan — het certificeert geen rechtsconformiteit.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Openstaande risico's en hiaten</w:t>
      </w:r>
    </w:p>
    <w:p>
      <w:pPr>
        <w:spacing w:after="60"/>
      </w:pPr>
      <w:r>
        <w:rPr>
          <w:sz w:val="19"/>
          <w:szCs w:val="19"/>
        </w:rPr>
        <w:t xml:space="preserve">Geen openstaande punten vastgelegd.</w:t>
      </w:r>
    </w:p>
    <w:p>
      <w:pPr>
        <w:spacing w:before="160" w:after="60"/>
      </w:pPr>
      <w:r>
        <w:rPr>
          <w:b/>
          <w:sz w:val="30"/>
          <w:szCs w:val="30"/>
        </w:rPr>
        <w:t xml:space="preserve">Juridische kennisgevingen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Dit rapport certificeert geen rechtsconformiteit.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risicoclassificatie is voorlopig en vervangt geen juridische beoordeling.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juridische beoordeling kan een gespecialiseerde juridische toetsing vereisen.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Dit rapport dient ter voorbereiding van governance en compliance op basis van bewijs. Het vormt geen juridisch advies, geen certificering en geen conformiteitsverklaring.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menselijke verantwoordelijkheid blijft verplicht; AI neemt geen automatische beslissingen over personen.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Bijlage</w:t>
      </w:r>
    </w:p>
    <w:p>
      <w:pPr>
        <w:spacing w:before="160" w:after="60"/>
      </w:pPr>
      <w:r>
        <w:rPr>
          <w:b/>
          <w:sz w:val="25"/>
          <w:szCs w:val="25"/>
        </w:rPr>
        <w:t xml:space="preserve">Controlecatalogus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Bron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Vindplaats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Toetsing op verboden praktijken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Risicomanagementsysteem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Data-governance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Technische documentatie (nabij Bijlage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Logging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Transparantie &amp; markering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Menselijk toezicht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Nauwkeurigheid, robuustheid, cyberbeveiliging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Rechtmatigheid van de verwerking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Dataminimalisatie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Gegevensbeschermingseffectbeoordeling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Rechten van betrokkenen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Bias-monitoring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AI-competentie van de betrokkenen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Toegangscontrole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Audit-/bewijsketen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Metagegevens van de generatie</w:t>
      </w:r>
    </w:p>
    <w:p>
      <w:pPr>
        <w:spacing w:after="20"/>
      </w:pPr>
      <w:r>
        <w:rPr>
          <w:b/>
          <w:sz w:val="18"/>
          <w:szCs w:val="18"/>
        </w:rPr>
        <w:t xml:space="preserve">Aangemaakt op: </w:t>
      </w:r>
      <w:r>
        <w:rPr>
          <w:sz w:val="18"/>
          <w:szCs w:val="18"/>
        </w:rPr>
        <w:t xml:space="preserve">2026-09-04T07:40:43.214Z</w:t>
      </w:r>
    </w:p>
    <w:p>
      <w:pPr>
        <w:spacing w:after="20"/>
      </w:pPr>
      <w:r>
        <w:rPr>
          <w:b/>
          <w:sz w:val="18"/>
          <w:szCs w:val="18"/>
        </w:rPr>
        <w:t xml:space="preserve">Versie: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Taaldekking: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Aantal evidence-gebeurtenissen: </w:t>
      </w:r>
      <w:r>
        <w:rPr>
          <w:sz w:val="18"/>
          <w:szCs w:val="18"/>
        </w:rPr>
        <w:t xml:space="preserve">1101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