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Assistência de contexto de decisão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2026-09-04T07:40:16.400Z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6d681f6ac1cb9621…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Classificação e análise de metadados de decisão sintéticos para rastreabilidade de governação — DecisionTrust permanece um sistema de origem externo.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Documentação de decisões rastreável com revisão humana — sem decisões automatizadas.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mínimo — documentação de base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Documentação de decisões rastreável com revisão humana — sem decisões automatizadas.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mínimo — documentação de base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Nenhuma regra de risco acionada — documentação de base e reavaliação periódica.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p>
      <w:pPr>
        <w:spacing w:after="60"/>
      </w:pPr>
      <w:r>
        <w:rPr>
          <w:sz w:val="19"/>
          <w:szCs w:val="19"/>
        </w:rPr>
        <w:t xml:space="preserve">O caso de utilização ainda não está classificado — os controlos só estão disponíveis após a classificação de risco.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37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2026-08-31T04:58:25.975Z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49c9a844ac2f…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2026-09-04T04:54:46.725Z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0f9d33378809…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2026-09-04T04:55:26.446Z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37fe42589ca0…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2026-09-04T05:43:28.352Z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fb2ce837b47f…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2026-09-04T06:35:19.200Z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1648a0f361e7…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2026-09-04T06:36:29.977Z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f9e81719eb16…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2026-09-04T06:47:51.463Z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bb2179c0e609…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2026-09-04T07:26:50.182Z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f37ac7acca2a…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2026-09-04T07:27:23.964Z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6d2da0731338…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15655a4adfc5…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4c40ae4653dc…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2026-09-04T07:28:47.808Z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b3884122adda…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2026-09-04T07:29:51.933Z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55d8385da23c…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2026-09-04T07:30:44.406Z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da59b5be01f5…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32/37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2026-09-04T07:30:44.412Z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spacing w:after="60"/>
      </w:pPr>
      <w:r>
        <w:rPr>
          <w:sz w:val="19"/>
          <w:szCs w:val="19"/>
        </w:rPr>
        <w:t xml:space="preserve">Nenhum ponto em aberto registado.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2026-09-04T07:40:16.400Z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1079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