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sz w:val="44"/>
          <w:szCs w:val="44"/>
        </w:rPr>
        <w:t xml:space="preserve">Rapport de gouvernance — KI-gestützte Skill-Match-Empfehlung (HumanX OIS)</w:t>
      </w:r>
    </w:p>
    <w:p>
      <w:pPr>
        <w:spacing w:after="80"/>
      </w:pPr>
      <w:r>
        <w:rPr>
          <w:sz w:val="20"/>
          <w:szCs w:val="20"/>
          <w:color w:val="6B7280"/>
        </w:rPr>
        <w:t xml:space="preserve">HumanOSE — préparation à la gouvernance, appui à l'assurance et preuves prêtes pour l'audit. Aucune attestation de conformité juridique.</w:t>
      </w:r>
    </w:p>
    <w:p>
      <w:pPr>
        <w:spacing w:after="20"/>
      </w:pPr>
      <w:r>
        <w:rPr>
          <w:b/>
          <w:sz w:val="18"/>
          <w:szCs w:val="18"/>
        </w:rPr>
        <w:t xml:space="preserve">Produit: </w:t>
      </w:r>
      <w:r>
        <w:rPr>
          <w:sz w:val="18"/>
          <w:szCs w:val="18"/>
        </w:rPr>
        <w:t xml:space="preserve">HumanOSE</w:t>
      </w:r>
    </w:p>
    <w:p>
      <w:pPr>
        <w:spacing w:after="20"/>
      </w:pPr>
      <w:r>
        <w:rPr>
          <w:b/>
          <w:sz w:val="18"/>
          <w:szCs w:val="18"/>
        </w:rPr>
        <w:t xml:space="preserve">Cas d'usage: </w:t>
      </w:r>
      <w:r>
        <w:rPr>
          <w:sz w:val="18"/>
          <w:szCs w:val="18"/>
        </w:rPr>
        <w:t xml:space="preserve">uc_humanx_skillmatch (v1)</w:t>
      </w:r>
    </w:p>
    <w:p>
      <w:pPr>
        <w:spacing w:after="20"/>
      </w:pPr>
      <w:r>
        <w:rPr>
          <w:b/>
          <w:sz w:val="18"/>
          <w:szCs w:val="18"/>
        </w:rPr>
        <w:t xml:space="preserve">Système source: </w:t>
      </w:r>
      <w:r>
        <w:rPr>
          <w:sz w:val="18"/>
          <w:szCs w:val="18"/>
        </w:rPr>
        <w:t xml:space="preserve">humanx-ois</w:t>
      </w:r>
    </w:p>
    <w:p>
      <w:pPr>
        <w:spacing w:after="20"/>
      </w:pPr>
      <w:r>
        <w:rPr>
          <w:b/>
          <w:sz w:val="18"/>
          <w:szCs w:val="18"/>
        </w:rPr>
        <w:t xml:space="preserve">Langue: </w:t>
      </w:r>
      <w:r>
        <w:rPr>
          <w:sz w:val="18"/>
          <w:szCs w:val="18"/>
        </w:rPr>
        <w:t xml:space="preserve">FR</w:t>
      </w:r>
    </w:p>
    <w:p>
      <w:pPr>
        <w:spacing w:after="20"/>
      </w:pPr>
      <w:r>
        <w:rPr>
          <w:b/>
          <w:sz w:val="18"/>
          <w:szCs w:val="18"/>
        </w:rPr>
        <w:t xml:space="preserve">Mode des données: </w:t>
      </w:r>
      <w:r>
        <w:rPr>
          <w:sz w:val="18"/>
          <w:szCs w:val="18"/>
        </w:rPr>
        <w:t xml:space="preserve">synthétique</w:t>
      </w:r>
    </w:p>
    <w:p>
      <w:pPr>
        <w:spacing w:after="20"/>
      </w:pPr>
      <w:r>
        <w:rPr>
          <w:b/>
          <w:sz w:val="18"/>
          <w:szCs w:val="18"/>
        </w:rPr>
        <w:t xml:space="preserve">Généré le: </w:t>
      </w:r>
      <w:r>
        <w:rPr>
          <w:sz w:val="18"/>
          <w:szCs w:val="18"/>
        </w:rPr>
        <w:t xml:space="preserve">2026-09-04T07:32:35.953Z</w:t>
      </w:r>
    </w:p>
    <w:p>
      <w:pPr>
        <w:spacing w:after="20"/>
      </w:pPr>
      <w:r>
        <w:rPr>
          <w:b/>
          <w:sz w:val="18"/>
          <w:szCs w:val="18"/>
        </w:rPr>
        <w:t xml:space="preserve">État du rapport: </w:t>
      </w:r>
      <w:r>
        <w:rPr>
          <w:sz w:val="18"/>
          <w:szCs w:val="18"/>
        </w:rPr>
        <w:t xml:space="preserve">Classifié à titre provisoire</w:t>
      </w:r>
    </w:p>
    <w:p>
      <w:pPr>
        <w:spacing w:after="20"/>
      </w:pPr>
      <w:r>
        <w:rPr>
          <w:b/>
          <w:sz w:val="18"/>
          <w:szCs w:val="18"/>
        </w:rPr>
        <w:t xml:space="preserve">Hachage d'intégrité: </w:t>
      </w:r>
      <w:r>
        <w:rPr>
          <w:sz w:val="18"/>
          <w:szCs w:val="18"/>
        </w:rPr>
        <w:t xml:space="preserve">ad23953c517a7b4b…</w:t>
      </w:r>
    </w:p>
    <w:p>
      <w:pPr>
        <w:spacing w:after="6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Ce rapport repose exclusivement sur des données synthétiques (exploitation pilote). Aucune donnée personnelle réelle.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Ce rapport ne certifie aucune conformité juridique.</w:t>
      </w:r>
    </w:p>
    <w:p>
      <w:pPr>
        <w:spacing w:before="160" w:after="60"/>
      </w:pPr>
      <w:r>
        <w:rPr>
          <w:b/>
          <w:sz w:val="30"/>
          <w:szCs w:val="30"/>
        </w:rPr>
        <w:t xml:space="preserve">Synthèse pour les décideurs</w:t>
      </w:r>
    </w:p>
    <w:p>
      <w:pPr>
        <w:spacing w:after="60"/>
      </w:pPr>
      <w:r>
        <w:rPr>
          <w:sz w:val="19"/>
          <w:szCs w:val="19"/>
        </w:rPr>
        <w:t xml:space="preserve">HumanX OIS schlägt anhand des Capability Graph erklärte Kandidat:innen für Rollen/Projekte vor — mit Unsicherheit und Pflicht zur menschlichen Prüfung.</w:t>
      </w:r>
    </w:p>
    <w:p>
      <w:pPr>
        <w:spacing w:after="20"/>
      </w:pPr>
      <w:r>
        <w:rPr>
          <w:b/>
          <w:sz w:val="18"/>
          <w:szCs w:val="18"/>
        </w:rPr>
        <w:t xml:space="preserve">Finalité prévue: </w:t>
      </w:r>
      <w:r>
        <w:rPr>
          <w:sz w:val="18"/>
          <w:szCs w:val="18"/>
        </w:rPr>
        <w:t xml:space="preserve">Entscheidungsunterstützung für die menschliche Auswahl — ausdrücklich keine automatische Zuweisung oder Beschäftigungsentscheidung.</w:t>
      </w:r>
    </w:p>
    <w:p>
      <w:pPr>
        <w:spacing w:after="20"/>
      </w:pPr>
      <w:r>
        <w:rPr>
          <w:b/>
          <w:sz w:val="18"/>
          <w:szCs w:val="18"/>
        </w:rPr>
        <w:t xml:space="preserve">Classe de risque préliminaire: </w:t>
      </w:r>
      <w:r>
        <w:rPr>
          <w:sz w:val="18"/>
          <w:szCs w:val="18"/>
        </w:rPr>
        <w:t xml:space="preserve">Proche du haut risque — supervision humaine obligatoire, examen juridique externe recommandé</w:t>
      </w:r>
    </w:p>
    <w:p>
      <w:pPr>
        <w:spacing w:after="20"/>
      </w:pPr>
      <w:r>
        <w:rPr>
          <w:b/>
          <w:sz w:val="18"/>
          <w:szCs w:val="18"/>
        </w:rPr>
        <w:t xml:space="preserve">Supervision humaine requise: </w:t>
      </w:r>
      <w:r>
        <w:rPr>
          <w:sz w:val="18"/>
          <w:szCs w:val="18"/>
        </w:rPr>
        <w:t xml:space="preserve">Oui</w:t>
      </w:r>
    </w:p>
    <w:p>
      <w:pPr>
        <w:spacing w:after="20"/>
      </w:pPr>
      <w:r>
        <w:rPr>
          <w:b/>
          <w:sz w:val="18"/>
          <w:szCs w:val="18"/>
        </w:rPr>
        <w:t xml:space="preserve">Préparation à la gouvernance: </w:t>
      </w:r>
      <w:r>
        <w:rPr>
          <w:sz w:val="18"/>
          <w:szCs w:val="18"/>
        </w:rPr>
        <w:t xml:space="preserve">0/15 Contrôles avec preuve/examinés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La préparation à la gouvernance désigne le degré de préparation (preuves disponibles/examinées) — elle ne certifie aucune conformité.</w:t>
      </w:r>
    </w:p>
    <w:p>
      <w:pPr>
        <w:spacing w:before="160" w:after="60"/>
      </w:pPr>
      <w:r>
        <w:rPr>
          <w:b/>
          <w:sz w:val="30"/>
          <w:szCs w:val="30"/>
        </w:rPr>
        <w:t xml:space="preserve">Profil du cas d'usage</w:t>
      </w:r>
    </w:p>
    <w:p>
      <w:pPr>
        <w:spacing w:after="20"/>
      </w:pPr>
      <w:r>
        <w:rPr>
          <w:b/>
          <w:sz w:val="18"/>
          <w:szCs w:val="18"/>
        </w:rPr>
        <w:t xml:space="preserve">Finalité prévue: </w:t>
      </w:r>
      <w:r>
        <w:rPr>
          <w:sz w:val="18"/>
          <w:szCs w:val="18"/>
        </w:rPr>
        <w:t xml:space="preserve">Entscheidungsunterstützung für die menschliche Auswahl — ausdrücklich keine automatische Zuweisung oder Beschäftigungsentscheidung.</w:t>
      </w:r>
    </w:p>
    <w:p>
      <w:pPr>
        <w:spacing w:after="20"/>
      </w:pPr>
      <w:r>
        <w:rPr>
          <w:b/>
          <w:sz w:val="18"/>
          <w:szCs w:val="18"/>
        </w:rPr>
        <w:t xml:space="preserve">Groupes de personnes concernées: </w:t>
      </w:r>
      <w:r>
        <w:rPr>
          <w:sz w:val="18"/>
          <w:szCs w:val="18"/>
        </w:rPr>
        <w:t xml:space="preserve">natuerliche_personen_mitarbeitende</w:t>
      </w:r>
    </w:p>
    <w:p>
      <w:pPr>
        <w:spacing w:after="20"/>
      </w:pPr>
      <w:r>
        <w:rPr>
          <w:b/>
          <w:sz w:val="18"/>
          <w:szCs w:val="18"/>
        </w:rPr>
        <w:t xml:space="preserve">Sources de données: </w:t>
      </w:r>
      <w:r>
        <w:rPr>
          <w:sz w:val="18"/>
          <w:szCs w:val="18"/>
        </w:rPr>
        <w:t xml:space="preserve">personenbezogen_capability_profile</w:t>
      </w:r>
    </w:p>
    <w:p>
      <w:pPr>
        <w:spacing w:after="20"/>
      </w:pPr>
      <w:r>
        <w:rPr>
          <w:b/>
          <w:sz w:val="18"/>
          <w:szCs w:val="18"/>
        </w:rPr>
        <w:t xml:space="preserve">Fonction IA: </w:t>
      </w:r>
      <w:r>
        <w:rPr>
          <w:sz w:val="18"/>
          <w:szCs w:val="18"/>
        </w:rPr>
        <w:t xml:space="preserve">recommendation</w:t>
      </w:r>
    </w:p>
    <w:p>
      <w:pPr>
        <w:spacing w:after="20"/>
      </w:pPr>
      <w:r>
        <w:rPr>
          <w:b/>
          <w:sz w:val="18"/>
          <w:szCs w:val="18"/>
        </w:rPr>
        <w:t xml:space="preserve">Impacts possibles: </w:t>
      </w:r>
      <w:r>
        <w:rPr>
          <w:sz w:val="18"/>
          <w:szCs w:val="18"/>
        </w:rPr>
        <w:t xml:space="preserve">beschaeftigung_rolle</w:t>
      </w:r>
    </w:p>
    <w:p>
      <w:pPr>
        <w:spacing w:after="20"/>
      </w:pPr>
      <w:r>
        <w:rPr>
          <w:b/>
          <w:sz w:val="18"/>
          <w:szCs w:val="18"/>
        </w:rPr>
        <w:t xml:space="preserve">Espace juridique: </w:t>
      </w:r>
      <w:r>
        <w:rPr>
          <w:sz w:val="18"/>
          <w:szCs w:val="18"/>
        </w:rPr>
        <w:t xml:space="preserve">eu-de</w:t>
      </w:r>
    </w:p>
    <w:p>
      <w:pPr>
        <w:spacing w:after="20"/>
      </w:pPr>
      <w:r>
        <w:rPr>
          <w:b/>
          <w:sz w:val="18"/>
          <w:szCs w:val="18"/>
        </w:rPr>
        <w:t xml:space="preserve">Système source: </w:t>
      </w:r>
      <w:r>
        <w:rPr>
          <w:sz w:val="18"/>
          <w:szCs w:val="18"/>
        </w:rPr>
        <w:t xml:space="preserve">humanx-ois</w:t>
      </w:r>
    </w:p>
    <w:p>
      <w:pPr>
        <w:spacing w:after="20"/>
      </w:pPr>
      <w:r>
        <w:rPr>
          <w:b/>
          <w:sz w:val="18"/>
          <w:szCs w:val="18"/>
        </w:rPr>
        <w:t xml:space="preserve">État du cycle de vie: </w:t>
      </w:r>
      <w:r>
        <w:rPr>
          <w:sz w:val="18"/>
          <w:szCs w:val="18"/>
        </w:rPr>
        <w:t xml:space="preserve">Classifié à titre provisoire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Évaluation des risques (préliminaire)</w:t>
      </w:r>
    </w:p>
    <w:p>
      <w:pPr>
        <w:spacing w:after="20"/>
      </w:pPr>
      <w:r>
        <w:rPr>
          <w:b/>
          <w:sz w:val="18"/>
          <w:szCs w:val="18"/>
        </w:rPr>
        <w:t xml:space="preserve">Classe de risque préliminaire: </w:t>
      </w:r>
      <w:r>
        <w:rPr>
          <w:sz w:val="18"/>
          <w:szCs w:val="18"/>
        </w:rPr>
        <w:t xml:space="preserve">Proche du haut risque — supervision humaine obligatoire, examen juridique externe recommandé</w:t>
      </w:r>
    </w:p>
    <w:p>
      <w:pPr>
        <w:spacing w:after="20"/>
      </w:pPr>
      <w:r>
        <w:rPr>
          <w:b/>
          <w:sz w:val="18"/>
          <w:szCs w:val="18"/>
        </w:rPr>
        <w:t xml:space="preserve">Niveau de confiance de l'évaluation: </w:t>
      </w:r>
      <w:r>
        <w:rPr>
          <w:sz w:val="18"/>
          <w:szCs w:val="18"/>
        </w:rPr>
        <w:t xml:space="preserve">medium</w:t>
      </w:r>
    </w:p>
    <w:p>
      <w:pPr>
        <w:spacing w:after="20"/>
      </w:pPr>
      <w:r>
        <w:rPr>
          <w:b/>
          <w:sz w:val="18"/>
          <w:szCs w:val="18"/>
        </w:rPr>
        <w:t xml:space="preserve">Jeu de règles: </w:t>
      </w:r>
      <w:r>
        <w:rPr>
          <w:sz w:val="18"/>
          <w:szCs w:val="18"/>
        </w:rPr>
        <w:t xml:space="preserve">v0.1.0</w:t>
      </w:r>
    </w:p>
    <w:p>
      <w:pPr>
        <w:spacing w:after="20"/>
      </w:pPr>
      <w:r>
        <w:rPr>
          <w:b/>
          <w:sz w:val="18"/>
          <w:szCs w:val="18"/>
        </w:rPr>
        <w:t xml:space="preserve">Examen humain requis: </w:t>
      </w:r>
      <w:r>
        <w:rPr>
          <w:sz w:val="18"/>
          <w:szCs w:val="18"/>
        </w:rPr>
        <w:t xml:space="preserve">Oui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La classification de risque est préliminaire et ne remplace pas une appréciation juridique.</w:t>
      </w:r>
    </w:p>
    <w:p>
      <w:pPr>
        <w:spacing w:before="160" w:after="60"/>
      </w:pPr>
      <w:r>
        <w:rPr>
          <w:b/>
          <w:sz w:val="25"/>
          <w:szCs w:val="25"/>
        </w:rPr>
        <w:t xml:space="preserve">Justification (référence aux règles)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R-HIGH-EMPLOY-01 — Effet sur l'emploi ou l'affectation de rôles — la proximité avec l'annexe III (contexte de l'emploi) est à examiner.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R-ELEV-PII-01 — Traitement de sources de données personnelles — les principes du RGPD (limitation des finalités, minimisation des données, droits des personnes concernées) doivent être appliqués.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R-LIM-TRANSPARENCY-01 — Fonction IA générative ou de recommandation — les obligations de transparence et de marquage sont à vérifier.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Questions juridiques ouvertes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Existe-t-il une configuration relevant de l'annexe III dans le contexte de l'emploi ? Un examen juridique externe est recommandé.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Mesures d'atténuation recommandées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Examen humain obligatoire de chaque évaluation individuelle par une personne responsable désignée.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Aucune décision automatique ayant un effet sur des personnes — le système propose, l'humain décide.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Minimisation des données : ne traiter que les catégories nécessaires à la gouvernance, sans copies de données brutes.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Contrôle d'accès basé sur les rôles et événements d'audit pour chaque accès à des objets sensibles.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Signaler les contenus générés par l'IA comme tels ; l'escalade vers un humain reste possible à tout moment.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Obtenir un examen juridique externe avant tout usage réel (configuration proche du haut risque).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Incertitude de l'évaluation</w:t>
      </w:r>
    </w:p>
    <w:p>
      <w:pPr>
        <w:spacing w:after="60"/>
      </w:pPr>
      <w:r>
        <w:rPr>
          <w:sz w:val="19"/>
          <w:szCs w:val="19"/>
        </w:rPr>
        <w:t xml:space="preserve">Le jeu de règles v0.1 s'appuie sur des heuristiques d'examen internes relatives à l'EU AI Act, au RGPD/GDPR, à la LPD suisse et au contexte britannique. L'évaluation dépend de l'exhaustivité des informations du registre et ne remplace pas un examen juridique.</w:t>
      </w:r>
    </w:p>
    <w:p>
      <w:pPr>
        <w:spacing w:before="160" w:after="60"/>
      </w:pPr>
      <w:r>
        <w:rPr>
          <w:b/>
          <w:sz w:val="30"/>
          <w:szCs w:val="30"/>
        </w:rPr>
        <w:t xml:space="preserve">Aperçu des politiques et des contrôles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L'état du contrôle documente l'examen des preuves — il ne certifie aucune conformité.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2265"/>
        <w:gridCol w:w="2265"/>
        <w:gridCol w:w="2265"/>
        <w:gridCol w:w="2265"/>
      </w:tblGrid>
      <w:tr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Contrôle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Référence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État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Preuves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Vérification des pratiques interdites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5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Ouvert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Système de gestion des risques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9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Ouvert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Gouvernance des données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10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Ouvert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Documentation technique (proche de l'annexe IV)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11 / Annex IV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Ouvert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Journalisation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12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Ouvert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Transparence et marquage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Ouvert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Supervision humaine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14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Ouvert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Exactitude, robustesse, cybersécurité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15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Ouvert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Licéité du traitement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6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Ouvert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Minimisation des données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5(1c)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Ouvert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Analyse d'impact relative à la protection des données (AIPD)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35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Ouvert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Droits des personnes concernées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12–22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Ouvert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Compétence en IA des personnes impliquées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Ouvert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Contrôle d'accès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ISO 27001 A.9 (Referenz)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Ouvert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Chaîne d'audit/de preuves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Evidence Standard (ADR-003)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Ouvert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Lacunes ouvertes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Vérification des pratiques interdites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Système de gestion des risques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Gouvernance des données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Documentation technique (proche de l'annexe IV)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Journalisation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Transparence et marquage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Supervision humaine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Exactitude, robustesse, cybersécurité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Licéité du traitement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Minimisation des données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Analyse d'impact relative à la protection des données (AIPD)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Droits des personnes concernées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Compétence en IA des personnes impliquées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Contrôle d'accès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Chaîne d'audit/de preuves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Supervision humaine</w:t>
      </w:r>
    </w:p>
    <w:p>
      <w:pPr>
        <w:spacing w:after="20"/>
      </w:pPr>
      <w:r>
        <w:rPr>
          <w:b/>
          <w:sz w:val="18"/>
          <w:szCs w:val="18"/>
        </w:rPr>
        <w:t xml:space="preserve">Humain responsable: </w:t>
      </w:r>
      <w:r>
        <w:rPr>
          <w:sz w:val="18"/>
          <w:szCs w:val="18"/>
        </w:rPr>
        <w:t xml:space="preserve">Attribution de la supervision en attente — un final responsible human doit être désigné avant l'approbation.</w:t>
      </w:r>
    </w:p>
    <w:p>
      <w:pPr>
        <w:spacing w:after="20"/>
      </w:pPr>
      <w:r>
        <w:rPr>
          <w:b/>
          <w:sz w:val="18"/>
          <w:szCs w:val="18"/>
        </w:rPr>
        <w:t xml:space="preserve">Personne chargée de la vérification: </w:t>
      </w:r>
      <w:r>
        <w:rPr>
          <w:sz w:val="18"/>
          <w:szCs w:val="18"/>
        </w:rPr>
        <w:t xml:space="preserve">—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La responsabilité humaine demeure obligatoire ; l'IA ne prend aucune décision automatique concernant des personnes.</w:t>
      </w:r>
    </w:p>
    <w:p>
      <w:pPr>
        <w:spacing w:before="160" w:after="60"/>
      </w:pPr>
      <w:r>
        <w:rPr>
          <w:b/>
          <w:sz w:val="25"/>
          <w:szCs w:val="25"/>
        </w:rPr>
        <w:t xml:space="preserve">Historique des examens</w:t>
      </w:r>
    </w:p>
    <w:p>
      <w:pPr>
        <w:spacing w:after="60"/>
      </w:pPr>
      <w:r>
        <w:rPr>
          <w:sz w:val="19"/>
          <w:szCs w:val="19"/>
        </w:rPr>
        <w:t xml:space="preserve">Aucune décision d'examen encore enregistrée.</w:t>
      </w:r>
    </w:p>
    <w:p>
      <w:pPr>
        <w:spacing w:before="160" w:after="60"/>
      </w:pPr>
      <w:r>
        <w:rPr>
          <w:b/>
          <w:sz w:val="30"/>
          <w:szCs w:val="30"/>
        </w:rPr>
        <w:t xml:space="preserve">Synthèse des preuves</w:t>
      </w:r>
    </w:p>
    <w:p>
      <w:pPr>
        <w:spacing w:after="20"/>
      </w:pPr>
      <w:r>
        <w:rPr>
          <w:b/>
          <w:sz w:val="18"/>
          <w:szCs w:val="18"/>
        </w:rPr>
        <w:t xml:space="preserve">État de la chaîne de preuves: </w:t>
      </w:r>
      <w:r>
        <w:rPr>
          <w:sz w:val="18"/>
          <w:szCs w:val="18"/>
        </w:rPr>
        <w:t xml:space="preserve">invalide (suspicion de manipulation)</w:t>
      </w:r>
    </w:p>
    <w:p>
      <w:pPr>
        <w:spacing w:after="20"/>
      </w:pPr>
      <w:r>
        <w:rPr>
          <w:b/>
          <w:sz w:val="18"/>
          <w:szCs w:val="18"/>
        </w:rPr>
        <w:t xml:space="preserve">Nombre d’événements de preuve: </w:t>
      </w:r>
      <w:r>
        <w:rPr>
          <w:sz w:val="18"/>
          <w:szCs w:val="18"/>
        </w:rPr>
        <w:t xml:space="preserve">46</w:t>
      </w:r>
    </w:p>
    <w:p>
      <w:pPr>
        <w:spacing w:after="20"/>
      </w:pPr>
      <w:r>
        <w:rPr>
          <w:b/>
          <w:sz w:val="18"/>
          <w:szCs w:val="18"/>
        </w:rPr>
        <w:t xml:space="preserve">Vérification réussie: </w:t>
      </w:r>
      <w:r>
        <w:rPr>
          <w:sz w:val="18"/>
          <w:szCs w:val="18"/>
        </w:rPr>
        <w:t xml:space="preserve">Non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Ancrage simulé (intégration PageCipher en attente) — signalé comme simulation.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1812"/>
        <w:gridCol w:w="1812"/>
        <w:gridCol w:w="1812"/>
        <w:gridCol w:w="1812"/>
        <w:gridCol w:w="1812"/>
      </w:tblGrid>
      <w:tr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#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Horodatage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Acteur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Action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Hash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748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2026-09-04T05:50:38.905Z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2562883fc11e…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754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2026-09-04T05:51:25.297Z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bb993d57ffa7…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774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2026-09-04T06:34:32.478Z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469a7ca25327…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808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2026-09-04T06:39:22.433Z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1dafca41969b…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910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2026-09-04T07:25:53.694Z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3a6799674772…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913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2026-09-04T07:25:53.834Z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c04705de8a41…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942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2026-09-04T07:26:05.247Z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4dbec329df58…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962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2026-09-04T07:26:44.379Z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fb02cc2dbf6d…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970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2026-09-04T07:26:44.671Z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a4fcc5f32428…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992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2026-09-04T07:27:13.128Z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e2e8643a73e7…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996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2026-09-04T07:27:24.063Z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d789e0506a20…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1008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2026-09-04T07:27:52.515Z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65c5954bb6b4…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1009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2026-09-04T07:27:52.562Z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30307266ae23…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1034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2026-09-04T07:31:25.888Z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1426380eae71…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État de l'ancre PageCipher</w:t>
      </w:r>
    </w:p>
    <w:p>
      <w:pPr>
        <w:spacing w:after="20"/>
      </w:pPr>
      <w:r>
        <w:rPr>
          <w:b/>
          <w:sz w:val="18"/>
          <w:szCs w:val="18"/>
        </w:rPr>
        <w:t xml:space="preserve">État de l'intégration PageCipher: </w:t>
      </w:r>
      <w:r>
        <w:rPr>
          <w:sz w:val="18"/>
          <w:szCs w:val="18"/>
        </w:rPr>
        <w:t xml:space="preserve">Actif (raccordement HTTP à PageCipher)</w:t>
      </w:r>
    </w:p>
    <w:p>
      <w:pPr>
        <w:spacing w:after="20"/>
      </w:pPr>
      <w:r>
        <w:rPr>
          <w:b/>
          <w:sz w:val="18"/>
          <w:szCs w:val="18"/>
        </w:rPr>
        <w:t xml:space="preserve">État de l'ancre PageCipher: </w:t>
      </w:r>
      <w:r>
        <w:rPr>
          <w:sz w:val="18"/>
          <w:szCs w:val="18"/>
        </w:rPr>
        <w:t xml:space="preserve">42/46 Ancré</w:t>
      </w:r>
    </w:p>
    <w:p>
      <w:pPr>
        <w:spacing w:after="20"/>
      </w:pPr>
      <w:r>
        <w:rPr>
          <w:b/>
          <w:sz w:val="18"/>
          <w:szCs w:val="18"/>
        </w:rPr>
        <w:t xml:space="preserve">Référence de l'ancre PageCipher: </w:t>
      </w:r>
      <w:r>
        <w:rPr>
          <w:sz w:val="18"/>
          <w:szCs w:val="18"/>
        </w:rPr>
        <w:t xml:space="preserve">pagecipher:86ae890eb0f5b94713ac5a91368567b0</w:t>
      </w:r>
    </w:p>
    <w:p>
      <w:pPr>
        <w:spacing w:after="20"/>
      </w:pPr>
      <w:r>
        <w:rPr>
          <w:b/>
          <w:sz w:val="18"/>
          <w:szCs w:val="18"/>
        </w:rPr>
        <w:t xml:space="preserve">Dernière tentative d'ancrage: </w:t>
      </w:r>
      <w:r>
        <w:rPr>
          <w:sz w:val="18"/>
          <w:szCs w:val="18"/>
        </w:rPr>
        <w:t xml:space="preserve">2026-09-04T07:31:25.895Z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L'ancre PageCipher atteste l'intégrité et l'origine des preuves — elle ne certifie aucune conformité juridique.</w:t>
      </w:r>
    </w:p>
    <w:p>
      <w:pPr>
        <w:spacing w:before="160" w:after="60"/>
      </w:pPr>
      <w:r>
        <w:rPr>
          <w:b/>
          <w:sz w:val="30"/>
          <w:szCs w:val="30"/>
        </w:rPr>
        <w:t xml:space="preserve">Risques et lacunes ouverts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15 contrôles ouverts sans preuve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Approbation humaine en attente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Existe-t-il une configuration relevant de l'annexe III dans le contexte de l'emploi ? Un examen juridique externe est recommandé.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Mentions légales (avertissement)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Ce rapport ne certifie aucune conformité juridique.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La classification de risque est préliminaire et ne remplace pas une appréciation juridique.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L'appréciation juridique peut nécessiter un examen juridique spécialisé.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Ce rapport sert à préparer la gouvernance et la conformité sur une base probante. Il ne constitue ni un conseil juridique, ni une certification, ni une attestation de conformité.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La responsabilité humaine demeure obligatoire ; l'IA ne prend aucune décision automatique concernant des personnes.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Annexe</w:t>
      </w:r>
    </w:p>
    <w:p>
      <w:pPr>
        <w:spacing w:before="160" w:after="60"/>
      </w:pPr>
      <w:r>
        <w:rPr>
          <w:b/>
          <w:sz w:val="25"/>
          <w:szCs w:val="25"/>
        </w:rPr>
        <w:t xml:space="preserve">Catalogue des contrôles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3020"/>
        <w:gridCol w:w="3020"/>
        <w:gridCol w:w="3020"/>
      </w:tblGrid>
      <w:tr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Contrôle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Source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Référence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Vérification des pratiques interdites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Système de gestion des risques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9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Gouvernance des données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Documentation technique (proche de l'annexe IV)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11 / Annex IV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Journalisation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Transparence et marquage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Supervision humaine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Exactitude, robustesse, cybersécurité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Licéité du traitement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6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Minimisation des données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5(1c)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Analyse d'impact relative à la protection des données (AIPD)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35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Droits des personnes concernées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12–22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Surveillance des biais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internal_policy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Policy AI-BIAS-01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Compétence en IA des personnes impliquées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ai_literacy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Contrôle d'accès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security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ISO 27001 A.9 (Referenz)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Chaîne d'audit/de preuves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audit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Evidence Standard (ADR-003)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Métadonnées de génération</w:t>
      </w:r>
    </w:p>
    <w:p>
      <w:pPr>
        <w:spacing w:after="20"/>
      </w:pPr>
      <w:r>
        <w:rPr>
          <w:b/>
          <w:sz w:val="18"/>
          <w:szCs w:val="18"/>
        </w:rPr>
        <w:t xml:space="preserve">Généré le: </w:t>
      </w:r>
      <w:r>
        <w:rPr>
          <w:sz w:val="18"/>
          <w:szCs w:val="18"/>
        </w:rPr>
        <w:t xml:space="preserve">2026-09-04T07:32:35.953Z</w:t>
      </w:r>
    </w:p>
    <w:p>
      <w:pPr>
        <w:spacing w:after="20"/>
      </w:pPr>
      <w:r>
        <w:rPr>
          <w:b/>
          <w:sz w:val="18"/>
          <w:szCs w:val="18"/>
        </w:rPr>
        <w:t xml:space="preserve">Version: </w:t>
      </w:r>
      <w:r>
        <w:rPr>
          <w:sz w:val="18"/>
          <w:szCs w:val="18"/>
        </w:rPr>
        <w:t xml:space="preserve">0.1.0</w:t>
      </w:r>
    </w:p>
    <w:p>
      <w:pPr>
        <w:spacing w:after="20"/>
      </w:pPr>
      <w:r>
        <w:rPr>
          <w:b/>
          <w:sz w:val="18"/>
          <w:szCs w:val="18"/>
        </w:rPr>
        <w:t xml:space="preserve">Couverture linguistique: </w:t>
      </w:r>
      <w:r>
        <w:rPr>
          <w:sz w:val="18"/>
          <w:szCs w:val="18"/>
        </w:rPr>
        <w:t xml:space="preserve">100 %</w:t>
      </w:r>
    </w:p>
    <w:p>
      <w:pPr>
        <w:spacing w:after="20"/>
      </w:pPr>
      <w:r>
        <w:rPr>
          <w:b/>
          <w:sz w:val="18"/>
          <w:szCs w:val="18"/>
        </w:rPr>
        <w:t xml:space="preserve">Nombre d’événements de preuve: </w:t>
      </w:r>
      <w:r>
        <w:rPr>
          <w:sz w:val="18"/>
          <w:szCs w:val="18"/>
        </w:rPr>
        <w:t xml:space="preserve">1039</w:t>
      </w:r>
    </w:p>
    <w:p>
      <w:pPr>
        <w:spacing w:after="40"/>
      </w:pPr>
    </w:p>
    <w:p>
      <w:sectPr>
        <w:pgSz w:w="11906" w:h="16838"/>
        <w:pgMar w:top="1134" w:right="1134" w:bottom="1134" w:left="1134" w:header="720" w:footer="720" w:gutter="0"/>
      </w:sectPr>
    </w:p>
  </w:body>
</w:document>
</file>