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Report di governance — KI-gestützte Skill-Match-Empfehlung (HumanX OIS)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preparazione alla governance, supporto all'assurance ed evidenze audit-ready. Nessuna attestazione di conformità giuridica.</w:t>
      </w:r>
    </w:p>
    <w:p>
      <w:pPr>
        <w:spacing w:after="20"/>
      </w:pPr>
      <w:r>
        <w:rPr>
          <w:b/>
          <w:sz w:val="18"/>
          <w:szCs w:val="18"/>
        </w:rPr>
        <w:t xml:space="preserve">Prodotto: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uc_humanx_skillmatch (v1)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humanx-ois</w:t>
      </w:r>
    </w:p>
    <w:p>
      <w:pPr>
        <w:spacing w:after="20"/>
      </w:pPr>
      <w:r>
        <w:rPr>
          <w:b/>
          <w:sz w:val="18"/>
          <w:szCs w:val="18"/>
        </w:rPr>
        <w:t xml:space="preserve">Lingua: </w:t>
      </w:r>
      <w:r>
        <w:rPr>
          <w:sz w:val="18"/>
          <w:szCs w:val="18"/>
        </w:rPr>
        <w:t xml:space="preserve">IT</w:t>
      </w:r>
    </w:p>
    <w:p>
      <w:pPr>
        <w:spacing w:after="20"/>
      </w:pPr>
      <w:r>
        <w:rPr>
          <w:b/>
          <w:sz w:val="18"/>
          <w:szCs w:val="18"/>
        </w:rPr>
        <w:t xml:space="preserve">Modalità dati: </w:t>
      </w:r>
      <w:r>
        <w:rPr>
          <w:sz w:val="18"/>
          <w:szCs w:val="18"/>
        </w:rPr>
        <w:t xml:space="preserve">sintetico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2026-09-04T07:25:53.820Z</w:t>
      </w:r>
    </w:p>
    <w:p>
      <w:pPr>
        <w:spacing w:after="20"/>
      </w:pPr>
      <w:r>
        <w:rPr>
          <w:b/>
          <w:sz w:val="18"/>
          <w:szCs w:val="18"/>
        </w:rPr>
        <w:t xml:space="preserve">Stato del report: </w:t>
      </w:r>
      <w:r>
        <w:rPr>
          <w:sz w:val="18"/>
          <w:szCs w:val="18"/>
        </w:rPr>
        <w:t xml:space="preserve">Classificato in via preliminare</w:t>
      </w:r>
    </w:p>
    <w:p>
      <w:pPr>
        <w:spacing w:after="20"/>
      </w:pPr>
      <w:r>
        <w:rPr>
          <w:b/>
          <w:sz w:val="18"/>
          <w:szCs w:val="18"/>
        </w:rPr>
        <w:t xml:space="preserve">Hash di integrità: </w:t>
      </w:r>
      <w:r>
        <w:rPr>
          <w:sz w:val="18"/>
          <w:szCs w:val="18"/>
        </w:rPr>
        <w:t xml:space="preserve">38f1cb0eaa7a7a6a…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si basa esclusivamente su dati sintetici (esercizio pilota). Nessun dato personale reale.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per i decisori</w:t>
      </w:r>
    </w:p>
    <w:p>
      <w:pPr>
        <w:spacing w:after="60"/>
      </w:pPr>
      <w:r>
        <w:rPr>
          <w:sz w:val="19"/>
          <w:szCs w:val="19"/>
        </w:rPr>
        <w:t xml:space="preserve">HumanX OIS schlägt anhand des Capability Graph erklärte Kandidat:innen für Rollen/Projekte vor — mit Unsicherheit und Pflicht zur menschlichen Prüfung.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Entscheidungsunterstützung für die menschliche Auswahl — ausdrücklich keine automatische Zuweisung oder Beschäftigungsentscheidung.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Prossimo all'alto rischio — supervisione umana obbligatoria, esame legale esterno raccomandato</w:t>
      </w:r>
    </w:p>
    <w:p>
      <w:pPr>
        <w:spacing w:after="20"/>
      </w:pPr>
      <w:r>
        <w:rPr>
          <w:b/>
          <w:sz w:val="18"/>
          <w:szCs w:val="18"/>
        </w:rPr>
        <w:t xml:space="preserve">Supervisione umana necessaria: </w:t>
      </w:r>
      <w:r>
        <w:rPr>
          <w:sz w:val="18"/>
          <w:szCs w:val="18"/>
        </w:rPr>
        <w:t xml:space="preserve">Sì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0/15 Controlli con prova/verificati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Governance Readiness indica il grado di preparazione (prove presenti/verificate) — non certifica alcuna conformità.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Profilo del caso d'uso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Entscheidungsunterstützung für die menschliche Auswahl — ausdrücklich keine automatische Zuweisung oder Beschäftigungsentscheidung.</w:t>
      </w:r>
    </w:p>
    <w:p>
      <w:pPr>
        <w:spacing w:after="20"/>
      </w:pPr>
      <w:r>
        <w:rPr>
          <w:b/>
          <w:sz w:val="18"/>
          <w:szCs w:val="18"/>
        </w:rPr>
        <w:t xml:space="preserve">Gruppi di persone interessate: </w:t>
      </w:r>
      <w:r>
        <w:rPr>
          <w:sz w:val="18"/>
          <w:szCs w:val="18"/>
        </w:rPr>
        <w:t xml:space="preserve">natuerliche_personen_mitarbeitende</w:t>
      </w:r>
    </w:p>
    <w:p>
      <w:pPr>
        <w:spacing w:after="20"/>
      </w:pPr>
      <w:r>
        <w:rPr>
          <w:b/>
          <w:sz w:val="18"/>
          <w:szCs w:val="18"/>
        </w:rPr>
        <w:t xml:space="preserve">Fonti di dati: </w:t>
      </w:r>
      <w:r>
        <w:rPr>
          <w:sz w:val="18"/>
          <w:szCs w:val="18"/>
        </w:rPr>
        <w:t xml:space="preserve">personenbezogen_capability_profile</w:t>
      </w:r>
    </w:p>
    <w:p>
      <w:pPr>
        <w:spacing w:after="20"/>
      </w:pPr>
      <w:r>
        <w:rPr>
          <w:b/>
          <w:sz w:val="18"/>
          <w:szCs w:val="18"/>
        </w:rPr>
        <w:t xml:space="preserve">Funzione di IA: </w:t>
      </w:r>
      <w:r>
        <w:rPr>
          <w:sz w:val="18"/>
          <w:szCs w:val="18"/>
        </w:rPr>
        <w:t xml:space="preserve">recommendation</w:t>
      </w:r>
    </w:p>
    <w:p>
      <w:pPr>
        <w:spacing w:after="20"/>
      </w:pPr>
      <w:r>
        <w:rPr>
          <w:b/>
          <w:sz w:val="18"/>
          <w:szCs w:val="18"/>
        </w:rPr>
        <w:t xml:space="preserve">Impatti possibili: </w:t>
      </w:r>
      <w:r>
        <w:rPr>
          <w:sz w:val="18"/>
          <w:szCs w:val="18"/>
        </w:rPr>
        <w:t xml:space="preserve">beschaeftigung_rolle</w:t>
      </w:r>
    </w:p>
    <w:p>
      <w:pPr>
        <w:spacing w:after="20"/>
      </w:pPr>
      <w:r>
        <w:rPr>
          <w:b/>
          <w:sz w:val="18"/>
          <w:szCs w:val="18"/>
        </w:rPr>
        <w:t xml:space="preserve">Ambito giuridico: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humanx-ois</w:t>
      </w:r>
    </w:p>
    <w:p>
      <w:pPr>
        <w:spacing w:after="20"/>
      </w:pPr>
      <w:r>
        <w:rPr>
          <w:b/>
          <w:sz w:val="18"/>
          <w:szCs w:val="18"/>
        </w:rPr>
        <w:t xml:space="preserve">Stato del ciclo di vita: </w:t>
      </w:r>
      <w:r>
        <w:rPr>
          <w:sz w:val="18"/>
          <w:szCs w:val="18"/>
        </w:rPr>
        <w:t xml:space="preserve">Classificato in via preliminare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Valutazione del rischio (preliminare)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Prossimo all'alto rischio — supervisione umana obbligatoria, esame legale esterno raccomandato</w:t>
      </w:r>
    </w:p>
    <w:p>
      <w:pPr>
        <w:spacing w:after="20"/>
      </w:pPr>
      <w:r>
        <w:rPr>
          <w:b/>
          <w:sz w:val="18"/>
          <w:szCs w:val="18"/>
        </w:rPr>
        <w:t xml:space="preserve">Livello di confidenza della valutazione: </w:t>
      </w:r>
      <w:r>
        <w:rPr>
          <w:sz w:val="18"/>
          <w:szCs w:val="18"/>
        </w:rPr>
        <w:t xml:space="preserve">medium</w:t>
      </w:r>
    </w:p>
    <w:p>
      <w:pPr>
        <w:spacing w:after="20"/>
      </w:pPr>
      <w:r>
        <w:rPr>
          <w:b/>
          <w:sz w:val="18"/>
          <w:szCs w:val="18"/>
        </w:rPr>
        <w:t xml:space="preserve">Set di regole: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Verifica umana necessaria: </w:t>
      </w:r>
      <w:r>
        <w:rPr>
          <w:sz w:val="18"/>
          <w:szCs w:val="18"/>
        </w:rPr>
        <w:t xml:space="preserve">Sì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classificazione del rischio è preliminare e non sostituisce una valutazione giuridica.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Motivazione (riferimento alla regola)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R-HIGH-EMPLOY-01 — Effetto sull'occupazione o sull'assegnazione dei ruoli — occorre verificare la prossimità all'Allegato III (contesto lavorativo).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Trattamento di fonti di dati personali — vanno applicati i principi del GDPR (limitazione della finalità, minimizzazione dei dati, diritti degli interessati).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Funzione di IA generativa o di raccomandazione — vanno verificati gli obblighi di trasparenza ed etichettatura.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Questioni giuridiche aperte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Sussiste una configurazione dell'Allegato III nel contesto lavorativo? Si raccomanda un esame legale esterno.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Misure di mitigazione del rischio raccomandate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Verifica umana obbligatoria di ogni valutazione del singolo caso da parte di una persona responsabile designata.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Nessuna decisione automatica con effetti sulle persone — il sistema propone, l'essere umano decide.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Minimizzazione dei dati: trattare solo le categorie necessarie alla governance, nessuna copia dei dati grezzi.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Controllo degli accessi basato sui ruoli ed eventi di audit per ogni accesso a oggetti sensibili.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Contrassegnare come tali i contenuti generati dall'IA; escalation a un essere umano possibile in qualsiasi momento.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Ottenere un esame legale esterno prima di ogni uso reale (configurazione prossima all'alto rischio).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Incertezza della valutazione</w:t>
      </w:r>
    </w:p>
    <w:p>
      <w:pPr>
        <w:spacing w:after="60"/>
      </w:pPr>
      <w:r>
        <w:rPr>
          <w:sz w:val="19"/>
          <w:szCs w:val="19"/>
        </w:rPr>
        <w:t xml:space="preserve">Il set di regole v0.1 opera con euristiche di verifica interne relative a EU AI Act, GDPR, DSG svizzero e contesto britannico. La valutazione dipende dalla completezza dei dati della Registry e non sostituisce un esame giuridico.</w:t>
      </w:r>
    </w:p>
    <w:p>
      <w:pPr>
        <w:spacing w:before="160" w:after="60"/>
      </w:pPr>
      <w:r>
        <w:rPr>
          <w:b/>
          <w:sz w:val="30"/>
          <w:szCs w:val="30"/>
        </w:rPr>
        <w:t xml:space="preserve">Panoramica di policy e controlli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Lo stato del controllo documenta la verifica delle prove — non certifica alcuna conformità.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Prove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 delle pratiche vietate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di gestione del rischio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Documentazione tecnica (simile all'Allegato IV)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Supervisione umana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Accuratezza, robustezza, cybersicurezza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Valutazione d'impatto sulla protezione dei dati (DPIA)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 aperte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Verifica delle pratiche vietate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Sistema di gestione del rischio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Data governance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Documentazione tecnica (simile all'Allegato IV)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Registrazione dei log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Trasparenza ed etichettatura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Supervisione umana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Accuratezza, robustezza, cybersicurezza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Liceità del trattamento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Minimizzazione dei dati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Valutazione d'impatto sulla protezione dei dati (DPIA)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Diritti degli interessati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Competenza in materia di IA delle persone coinvolte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Controllo degli accessi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Catena di audit/evidenze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Supervisione 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responsabile: </w:t>
      </w:r>
      <w:r>
        <w:rPr>
          <w:sz w:val="18"/>
          <w:szCs w:val="18"/>
        </w:rPr>
        <w:t xml:space="preserve">Assegnazione dell'oversight in sospeso — prima dell'approvazione va designato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responsabilità umana rimane obbligatoria; l'IA non prende decisioni automatiche sulle persone.</w:t>
      </w:r>
    </w:p>
    <w:p>
      <w:pPr>
        <w:spacing w:before="160" w:after="60"/>
      </w:pPr>
      <w:r>
        <w:rPr>
          <w:b/>
          <w:sz w:val="25"/>
          <w:szCs w:val="25"/>
        </w:rPr>
        <w:t xml:space="preserve">Cronologia delle revisioni</w:t>
      </w:r>
    </w:p>
    <w:p>
      <w:pPr>
        <w:spacing w:after="60"/>
      </w:pPr>
      <w:r>
        <w:rPr>
          <w:sz w:val="19"/>
          <w:szCs w:val="19"/>
        </w:rPr>
        <w:t xml:space="preserve">Nessuna decisione di revisione ancora registrata.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delle evidenze</w:t>
      </w:r>
    </w:p>
    <w:p>
      <w:pPr>
        <w:spacing w:after="20"/>
      </w:pPr>
      <w:r>
        <w:rPr>
          <w:b/>
          <w:sz w:val="18"/>
          <w:szCs w:val="18"/>
        </w:rPr>
        <w:t xml:space="preserve">Stato della catena di evidenze: </w:t>
      </w:r>
      <w:r>
        <w:rPr>
          <w:sz w:val="18"/>
          <w:szCs w:val="18"/>
        </w:rPr>
        <w:t xml:space="preserve">non valida (sospetta manomissione)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37</w:t>
      </w:r>
    </w:p>
    <w:p>
      <w:pPr>
        <w:spacing w:after="20"/>
      </w:pPr>
      <w:r>
        <w:rPr>
          <w:b/>
          <w:sz w:val="18"/>
          <w:szCs w:val="18"/>
        </w:rPr>
        <w:t xml:space="preserve">Verifica superata: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Ancoraggio simulato (integrazione PageCipher in sospeso) — contrassegnato come simulazione.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Azione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2026-09-02T18:31:06.548Z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2b9f33050b3b…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2026-09-02T18:31:07.044Z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d056ac2470dc…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2026-09-02T18:31:07.567Z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4f2d4dc3276a…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2026-09-02T18:31:08.052Z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6b6cedbd5543…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2026-09-02T19:07:44.194Z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4c1ca9313352…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2026-09-02T19:07:44.708Z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3a0d05fced89…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2026-09-02T19:07:45.229Z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9608608dd348…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2026-09-04T05:40:58.208Z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838989e59b3a…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2026-09-04T05:49:53.221Z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3fc933c2865c…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2026-09-04T05:50:38.905Z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2562883fc11e…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2026-09-04T05:51:25.297Z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bb993d57ffa7…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2026-09-04T06:34:32.478Z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469a7ca25327…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2026-09-04T06:39:22.433Z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1dafca41969b…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2026-09-04T07:25:53.694Z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3a6799674772…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Stato dell'ancora PageCipher</w:t>
      </w:r>
    </w:p>
    <w:p>
      <w:pPr>
        <w:spacing w:after="20"/>
      </w:pPr>
      <w:r>
        <w:rPr>
          <w:b/>
          <w:sz w:val="18"/>
          <w:szCs w:val="18"/>
        </w:rPr>
        <w:t xml:space="preserve">Stato dell'integrazione PageCipher: </w:t>
      </w:r>
      <w:r>
        <w:rPr>
          <w:sz w:val="18"/>
          <w:szCs w:val="18"/>
        </w:rPr>
        <w:t xml:space="preserve">Attivo (integrazione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Stato dell'ancora PageCipher: </w:t>
      </w:r>
      <w:r>
        <w:rPr>
          <w:sz w:val="18"/>
          <w:szCs w:val="18"/>
        </w:rPr>
        <w:t xml:space="preserve">32/37 Ancorato</w:t>
      </w:r>
    </w:p>
    <w:p>
      <w:pPr>
        <w:spacing w:after="20"/>
      </w:pPr>
      <w:r>
        <w:rPr>
          <w:b/>
          <w:sz w:val="18"/>
          <w:szCs w:val="18"/>
        </w:rPr>
        <w:t xml:space="preserve">Riferimento dell'ancora PageCipher: </w:t>
      </w:r>
      <w:r>
        <w:rPr>
          <w:sz w:val="18"/>
          <w:szCs w:val="18"/>
        </w:rPr>
        <w:t xml:space="preserve">pagecipher:86ae890eb0f5b94713ac5a91368567b0</w:t>
      </w:r>
    </w:p>
    <w:p>
      <w:pPr>
        <w:spacing w:after="20"/>
      </w:pPr>
      <w:r>
        <w:rPr>
          <w:b/>
          <w:sz w:val="18"/>
          <w:szCs w:val="18"/>
        </w:rPr>
        <w:t xml:space="preserve">Ultimo tentativo di ancoraggio: </w:t>
      </w:r>
      <w:r>
        <w:rPr>
          <w:sz w:val="18"/>
          <w:szCs w:val="18"/>
        </w:rPr>
        <w:t xml:space="preserve">2026-09-04T07:25:53.699Z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L'ancora PageCipher attesta l'integrità e la provenienza delle evidenze —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Rischi e lacune aperti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15 controlli aperti senza prova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Approvazione umana in sospeso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Sussiste una configurazione dell'Allegato III nel contesto lavorativo? Si raccomanda un esame legale esterno.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Avvertenze legali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non certifica alcuna conformità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classificazione del rischio è preliminare e non sostituisce una valutazione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valutazione giuridica può richiedere un esame legale specializzato.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serve alla preparazione alla governance e alla compliance su base probatoria. Non costituisce consulenza legale, certificazione né attestazione di conformità.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responsabilità umana rimane obbligatoria; l'IA non prende decisioni automatiche sulle persone.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Appendice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Catalogo dei controlli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 delle pratiche vietate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di gestione del rischio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Documentazione tecnica (simile all'Allegato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Supervisione 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Accuratezza, robustezza, cybersicurezza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Valutazione d'impatto sulla protezione dei dati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Monitoraggio dei bias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Metadati di generazione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2026-09-04T07:25:53.820Z</w:t>
      </w:r>
    </w:p>
    <w:p>
      <w:pPr>
        <w:spacing w:after="20"/>
      </w:pPr>
      <w:r>
        <w:rPr>
          <w:b/>
          <w:sz w:val="18"/>
          <w:szCs w:val="18"/>
        </w:rPr>
        <w:t xml:space="preserve">Versione: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Copertura linguistica: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912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