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60"/>
      </w:pPr>
      <w:r>
        <w:rPr>
          <w:b/>
          <w:sz w:val="44"/>
          <w:szCs w:val="44"/>
        </w:rPr>
        <w:t xml:space="preserve">Relatório de governação — KI-gestützte Skill-Match-Empfehlung (HumanX OIS)</w:t>
      </w:r>
    </w:p>
    <w:p>
      <w:pPr>
        <w:spacing w:after="80"/>
      </w:pPr>
      <w:r>
        <w:rPr>
          <w:sz w:val="20"/>
          <w:szCs w:val="20"/>
          <w:color w:val="6B7280"/>
        </w:rPr>
        <w:t xml:space="preserve">HumanOSE — preparação da governação, apoio à garantia (assurance) e evidência pronta para auditoria. Sem atestado de conformidade jurídica.</w:t>
      </w:r>
    </w:p>
    <w:p>
      <w:pPr>
        <w:spacing w:after="20"/>
      </w:pPr>
      <w:r>
        <w:rPr>
          <w:b/>
          <w:sz w:val="18"/>
          <w:szCs w:val="18"/>
        </w:rPr>
        <w:t xml:space="preserve">Produto: </w:t>
      </w:r>
      <w:r>
        <w:rPr>
          <w:sz w:val="18"/>
          <w:szCs w:val="18"/>
        </w:rPr>
        <w:t xml:space="preserve">HumanOSE</w:t>
      </w:r>
    </w:p>
    <w:p>
      <w:pPr>
        <w:spacing w:after="20"/>
      </w:pPr>
      <w:r>
        <w:rPr>
          <w:b/>
          <w:sz w:val="18"/>
          <w:szCs w:val="18"/>
        </w:rPr>
        <w:t xml:space="preserve">Caso de uso: </w:t>
      </w:r>
      <w:r>
        <w:rPr>
          <w:sz w:val="18"/>
          <w:szCs w:val="18"/>
        </w:rPr>
        <w:t xml:space="preserve">uc_humanx_skillmatch (v1)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Idioma: </w:t>
      </w:r>
      <w:r>
        <w:rPr>
          <w:sz w:val="18"/>
          <w:szCs w:val="18"/>
        </w:rPr>
        <w:t xml:space="preserve">PT</w:t>
      </w:r>
    </w:p>
    <w:p>
      <w:pPr>
        <w:spacing w:after="20"/>
      </w:pPr>
      <w:r>
        <w:rPr>
          <w:b/>
          <w:sz w:val="18"/>
          <w:szCs w:val="18"/>
        </w:rPr>
        <w:t xml:space="preserve">Modo de dados: </w:t>
      </w:r>
      <w:r>
        <w:rPr>
          <w:sz w:val="18"/>
          <w:szCs w:val="18"/>
        </w:rPr>
        <w:t xml:space="preserve">sintético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2026-09-04T07:39:25.359Z</w:t>
      </w:r>
    </w:p>
    <w:p>
      <w:pPr>
        <w:spacing w:after="20"/>
      </w:pPr>
      <w:r>
        <w:rPr>
          <w:b/>
          <w:sz w:val="18"/>
          <w:szCs w:val="18"/>
        </w:rPr>
        <w:t xml:space="preserve">Estado do relatório: </w:t>
      </w:r>
      <w:r>
        <w:rPr>
          <w:sz w:val="18"/>
          <w:szCs w:val="18"/>
        </w:rPr>
        <w:t xml:space="preserve">Classificado provisoriamente</w:t>
      </w:r>
    </w:p>
    <w:p>
      <w:pPr>
        <w:spacing w:after="20"/>
      </w:pPr>
      <w:r>
        <w:rPr>
          <w:b/>
          <w:sz w:val="18"/>
          <w:szCs w:val="18"/>
        </w:rPr>
        <w:t xml:space="preserve">Hash de integridade: </w:t>
      </w:r>
      <w:r>
        <w:rPr>
          <w:sz w:val="18"/>
          <w:szCs w:val="18"/>
        </w:rPr>
        <w:t xml:space="preserve">747263d0c5dbd8b0…</w:t>
      </w:r>
    </w:p>
    <w:p>
      <w:pPr>
        <w:spacing w:after="6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baseia-se exclusivamente em dados sintéticos (operação-piloto). Sem dados pessoais reais.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Este relatório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Síntese para decisores</w:t>
      </w:r>
    </w:p>
    <w:p>
      <w:pPr>
        <w:spacing w:after="60"/>
      </w:pPr>
      <w:r>
        <w:rPr>
          <w:sz w:val="19"/>
          <w:szCs w:val="19"/>
        </w:rPr>
        <w:t xml:space="preserve">HumanX OIS schlägt anhand des Capability Graph erklärte Kandidat:innen für Rollen/Projekte vor — mit Unsicherheit und Pflicht zur menschlichen Prüfung.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Próximo de alto risco — supervisão humana obrigatória, recomenda-se análise jurídica externa</w:t>
      </w:r>
    </w:p>
    <w:p>
      <w:pPr>
        <w:spacing w:after="20"/>
      </w:pPr>
      <w:r>
        <w:rPr>
          <w:b/>
          <w:sz w:val="18"/>
          <w:szCs w:val="18"/>
        </w:rPr>
        <w:t xml:space="preserve">Supervisão humana necessária: </w:t>
      </w:r>
      <w:r>
        <w:rPr>
          <w:sz w:val="18"/>
          <w:szCs w:val="18"/>
        </w:rPr>
        <w:t xml:space="preserve">Sim</w:t>
      </w:r>
    </w:p>
    <w:p>
      <w:pPr>
        <w:spacing w:after="20"/>
      </w:pPr>
      <w:r>
        <w:rPr>
          <w:b/>
          <w:sz w:val="18"/>
          <w:szCs w:val="18"/>
        </w:rPr>
        <w:t xml:space="preserve">Governance Readiness: </w:t>
      </w:r>
      <w:r>
        <w:rPr>
          <w:sz w:val="18"/>
          <w:szCs w:val="18"/>
        </w:rPr>
        <w:t xml:space="preserve">0/15 Controlos com evidência/verificados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Governance Readiness designa o grau de preparação (evidências existentes/verificadas) — não certifica conformidade.</w:t>
      </w:r>
    </w:p>
    <w:p>
      <w:pPr>
        <w:spacing w:before="160" w:after="60"/>
      </w:pPr>
      <w:r>
        <w:rPr>
          <w:b/>
          <w:sz w:val="30"/>
          <w:szCs w:val="30"/>
        </w:rPr>
        <w:t xml:space="preserve">Perfil do caso de utilização</w:t>
      </w:r>
    </w:p>
    <w:p>
      <w:pPr>
        <w:spacing w:after="20"/>
      </w:pPr>
      <w:r>
        <w:rPr>
          <w:b/>
          <w:sz w:val="18"/>
          <w:szCs w:val="18"/>
        </w:rPr>
        <w:t xml:space="preserve">Finalidade prevista: </w:t>
      </w:r>
      <w:r>
        <w:rPr>
          <w:sz w:val="18"/>
          <w:szCs w:val="18"/>
        </w:rPr>
        <w:t xml:space="preserve">Entscheidungsunterstützung für die menschliche Auswahl — ausdrücklich keine automatische Zuweisung oder Beschäftigungsentscheidung.</w:t>
      </w:r>
    </w:p>
    <w:p>
      <w:pPr>
        <w:spacing w:after="20"/>
      </w:pPr>
      <w:r>
        <w:rPr>
          <w:b/>
          <w:sz w:val="18"/>
          <w:szCs w:val="18"/>
        </w:rPr>
        <w:t xml:space="preserve">Grupos de pessoas afetadas: </w:t>
      </w:r>
      <w:r>
        <w:rPr>
          <w:sz w:val="18"/>
          <w:szCs w:val="18"/>
        </w:rPr>
        <w:t xml:space="preserve">natuerliche_personen_mitarbeitende</w:t>
      </w:r>
    </w:p>
    <w:p>
      <w:pPr>
        <w:spacing w:after="20"/>
      </w:pPr>
      <w:r>
        <w:rPr>
          <w:b/>
          <w:sz w:val="18"/>
          <w:szCs w:val="18"/>
        </w:rPr>
        <w:t xml:space="preserve">Fontes de dados: </w:t>
      </w:r>
      <w:r>
        <w:rPr>
          <w:sz w:val="18"/>
          <w:szCs w:val="18"/>
        </w:rPr>
        <w:t xml:space="preserve">personenbezogen_capability_profile</w:t>
      </w:r>
    </w:p>
    <w:p>
      <w:pPr>
        <w:spacing w:after="20"/>
      </w:pPr>
      <w:r>
        <w:rPr>
          <w:b/>
          <w:sz w:val="18"/>
          <w:szCs w:val="18"/>
        </w:rPr>
        <w:t xml:space="preserve">Função de IA: </w:t>
      </w:r>
      <w:r>
        <w:rPr>
          <w:sz w:val="18"/>
          <w:szCs w:val="18"/>
        </w:rPr>
        <w:t xml:space="preserve">recommendation</w:t>
      </w:r>
    </w:p>
    <w:p>
      <w:pPr>
        <w:spacing w:after="20"/>
      </w:pPr>
      <w:r>
        <w:rPr>
          <w:b/>
          <w:sz w:val="18"/>
          <w:szCs w:val="18"/>
        </w:rPr>
        <w:t xml:space="preserve">Impactos possíveis: </w:t>
      </w:r>
      <w:r>
        <w:rPr>
          <w:sz w:val="18"/>
          <w:szCs w:val="18"/>
        </w:rPr>
        <w:t xml:space="preserve">beschaeftigung_rolle</w:t>
      </w:r>
    </w:p>
    <w:p>
      <w:pPr>
        <w:spacing w:after="20"/>
      </w:pPr>
      <w:r>
        <w:rPr>
          <w:b/>
          <w:sz w:val="18"/>
          <w:szCs w:val="18"/>
        </w:rPr>
        <w:t xml:space="preserve">Ordenamento jurídico: </w:t>
      </w:r>
      <w:r>
        <w:rPr>
          <w:sz w:val="18"/>
          <w:szCs w:val="18"/>
        </w:rPr>
        <w:t xml:space="preserve">eu-de</w:t>
      </w:r>
    </w:p>
    <w:p>
      <w:pPr>
        <w:spacing w:after="20"/>
      </w:pPr>
      <w:r>
        <w:rPr>
          <w:b/>
          <w:sz w:val="18"/>
          <w:szCs w:val="18"/>
        </w:rPr>
        <w:t xml:space="preserve">Sistema-fonte: </w:t>
      </w:r>
      <w:r>
        <w:rPr>
          <w:sz w:val="18"/>
          <w:szCs w:val="18"/>
        </w:rPr>
        <w:t xml:space="preserve">humanx-ois</w:t>
      </w:r>
    </w:p>
    <w:p>
      <w:pPr>
        <w:spacing w:after="20"/>
      </w:pPr>
      <w:r>
        <w:rPr>
          <w:b/>
          <w:sz w:val="18"/>
          <w:szCs w:val="18"/>
        </w:rPr>
        <w:t xml:space="preserve">Estado do ciclo de vida: </w:t>
      </w:r>
      <w:r>
        <w:rPr>
          <w:sz w:val="18"/>
          <w:szCs w:val="18"/>
        </w:rPr>
        <w:t xml:space="preserve">Classificado provisoriamente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Avaliação de risco (preliminar)</w:t>
      </w:r>
    </w:p>
    <w:p>
      <w:pPr>
        <w:spacing w:after="20"/>
      </w:pPr>
      <w:r>
        <w:rPr>
          <w:b/>
          <w:sz w:val="18"/>
          <w:szCs w:val="18"/>
        </w:rPr>
        <w:t xml:space="preserve">Classe de risco preliminar: </w:t>
      </w:r>
      <w:r>
        <w:rPr>
          <w:sz w:val="18"/>
          <w:szCs w:val="18"/>
        </w:rPr>
        <w:t xml:space="preserve">Próximo de alto risco — supervisão humana obrigatória, recomenda-se análise jurídica externa</w:t>
      </w:r>
    </w:p>
    <w:p>
      <w:pPr>
        <w:spacing w:after="20"/>
      </w:pPr>
      <w:r>
        <w:rPr>
          <w:b/>
          <w:sz w:val="18"/>
          <w:szCs w:val="18"/>
        </w:rPr>
        <w:t xml:space="preserve">Confiança da avaliação: </w:t>
      </w:r>
      <w:r>
        <w:rPr>
          <w:sz w:val="18"/>
          <w:szCs w:val="18"/>
        </w:rPr>
        <w:t xml:space="preserve">medium</w:t>
      </w:r>
    </w:p>
    <w:p>
      <w:pPr>
        <w:spacing w:after="20"/>
      </w:pPr>
      <w:r>
        <w:rPr>
          <w:b/>
          <w:sz w:val="18"/>
          <w:szCs w:val="18"/>
        </w:rPr>
        <w:t xml:space="preserve">Conjunto de regras: </w:t>
      </w:r>
      <w:r>
        <w:rPr>
          <w:sz w:val="18"/>
          <w:szCs w:val="18"/>
        </w:rPr>
        <w:t xml:space="preserve">v0.1.0</w:t>
      </w:r>
    </w:p>
    <w:p>
      <w:pPr>
        <w:spacing w:after="20"/>
      </w:pPr>
      <w:r>
        <w:rPr>
          <w:b/>
          <w:sz w:val="18"/>
          <w:szCs w:val="18"/>
        </w:rPr>
        <w:t xml:space="preserve">Análise humana necessária: </w:t>
      </w:r>
      <w:r>
        <w:rPr>
          <w:sz w:val="18"/>
          <w:szCs w:val="18"/>
        </w:rPr>
        <w:t xml:space="preserve">Sim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classificação de risco é preliminar e não substitui uma avaliação jurídica.</w:t>
      </w:r>
    </w:p>
    <w:p>
      <w:pPr>
        <w:spacing w:before="160" w:after="60"/>
      </w:pPr>
      <w:r>
        <w:rPr>
          <w:b/>
          <w:sz w:val="25"/>
          <w:szCs w:val="25"/>
        </w:rPr>
        <w:t xml:space="preserve">Fundamentação (referência à regra)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R-HIGH-EMPLOY-01 — Impacto no emprego ou na atribuição de funções — a proximidade ao Anexo III (contexto de emprego) deve ser verificada.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R-ELEV-PII-01 — Tratamento de fontes de dados pessoais — os princípios do RGPD (limitação da finalidade, minimização dos dados, direitos dos titulares) devem ser aplicados.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R-LIM-TRANSPARENCY-01 — Função de IA generativa ou de recomendação — as obrigações de transparência e de identificação devem ser verificadas.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Questões jurídicas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Existe uma constelação do Anexo III no contexto de emprego? Recomenda-se análise jurídica externa.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Medidas de mitigação de risco recomendadas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Análise humana obrigatória de cada avaliação individual por uma pessoa responsável designada.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Sem decisão automática com efeitos sobre pessoas — o sistema propõe, o ser humano decide.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Minimização dos dados: tratar apenas as categorias necessárias à governação, sem cópias de dados em bruto.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Controlo de acessos baseado em funções e eventos de auditoria para cada acesso a objetos sensíveis.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Identificar os conteúdos gerados por IA como tal; escalar para um ser humano é possível a qualquer momento.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Obter análise jurídica externa antes de qualquer utilização real (constelação próxima de alto risco).</w:t>
      </w:r>
    </w:p>
    <w:p>
      <w:pPr>
        <w:spacing w:after="40"/>
      </w:pPr>
    </w:p>
    <w:p>
      <w:pPr>
        <w:spacing w:before="160" w:after="60"/>
      </w:pPr>
      <w:r>
        <w:rPr>
          <w:b/>
          <w:sz w:val="25"/>
          <w:szCs w:val="25"/>
        </w:rPr>
        <w:t xml:space="preserve">Incerteza da avaliação</w:t>
      </w:r>
    </w:p>
    <w:p>
      <w:pPr>
        <w:spacing w:after="60"/>
      </w:pPr>
      <w:r>
        <w:rPr>
          <w:sz w:val="19"/>
          <w:szCs w:val="19"/>
        </w:rPr>
        <w:t xml:space="preserve">O conjunto de regras v0.1 utiliza heurísticas internas de verificação relativas ao EU AI Act, ao RGPD/GDPR, à DSG suíça e ao contexto do Reino Unido. A avaliação depende da completude dos dados do registry e não substitui uma análise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Visão geral de políticas e controlos</w:t>
      </w: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O estado do controlo documenta a verificação das evidências — não certifica conformidade.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2265"/>
        <w:gridCol w:w="2265"/>
        <w:gridCol w:w="2265"/>
        <w:gridCol w:w="2265"/>
      </w:tblGrid>
      <w:tr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Estado</w:t>
            </w:r>
          </w:p>
        </w:tc>
        <w:tc>
          <w:tcPr>
            <w:tcW w:w="2265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Evidências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  <w:tr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Em aberto</w:t>
            </w:r>
          </w:p>
        </w:tc>
        <w:tc>
          <w:tcPr>
            <w:tcW w:w="2265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0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Verificação de práticas proibidas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Sistema de gestão de risco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Governação de dados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Documentação técnica (próxima do Anexo IV)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Registo de eventos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Transparência e identificação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Supervisão humana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Exatidão, robustez, cibersegurança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Licitude do tratamento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Minimização dos dados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Avaliação de impacto sobre a proteção de dados (AIPD)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Direitos dos titulares dos dados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Literacia em IA dos intervenientes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Controlo de acessos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Cadeia de auditoria/evidências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Supervisão humana</w:t>
      </w:r>
    </w:p>
    <w:p>
      <w:pPr>
        <w:spacing w:after="20"/>
      </w:pPr>
      <w:r>
        <w:rPr>
          <w:b/>
          <w:sz w:val="18"/>
          <w:szCs w:val="18"/>
        </w:rPr>
        <w:t xml:space="preserve">Humano responsável: </w:t>
      </w:r>
      <w:r>
        <w:rPr>
          <w:sz w:val="18"/>
          <w:szCs w:val="18"/>
        </w:rPr>
        <w:t xml:space="preserve">Atribuição de supervisão pendente — antes da aprovação deve ser designado um final responsible human.</w:t>
      </w:r>
    </w:p>
    <w:p>
      <w:pPr>
        <w:spacing w:after="20"/>
      </w:pPr>
      <w:r>
        <w:rPr>
          <w:b/>
          <w:sz w:val="18"/>
          <w:szCs w:val="18"/>
        </w:rPr>
        <w:t xml:space="preserve">Pessoa revisora: </w:t>
      </w:r>
      <w:r>
        <w:rPr>
          <w:sz w:val="18"/>
          <w:szCs w:val="18"/>
        </w:rPr>
        <w:t xml:space="preserve">—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responsabilidade humana mantém-se obrigatória; a IA não toma decisões automáticas sobre pessoas.</w:t>
      </w:r>
    </w:p>
    <w:p>
      <w:pPr>
        <w:spacing w:before="160" w:after="60"/>
      </w:pPr>
      <w:r>
        <w:rPr>
          <w:b/>
          <w:sz w:val="25"/>
          <w:szCs w:val="25"/>
        </w:rPr>
        <w:t xml:space="preserve">Histórico de revisões</w:t>
      </w:r>
    </w:p>
    <w:p>
      <w:pPr>
        <w:spacing w:after="60"/>
      </w:pPr>
      <w:r>
        <w:rPr>
          <w:sz w:val="19"/>
          <w:szCs w:val="19"/>
        </w:rPr>
        <w:t xml:space="preserve">Ainda não foram registadas decisões de revisão.</w:t>
      </w:r>
    </w:p>
    <w:p>
      <w:pPr>
        <w:spacing w:before="160" w:after="60"/>
      </w:pPr>
      <w:r>
        <w:rPr>
          <w:b/>
          <w:sz w:val="30"/>
          <w:szCs w:val="30"/>
        </w:rPr>
        <w:t xml:space="preserve">Resumo de evidências</w:t>
      </w:r>
    </w:p>
    <w:p>
      <w:pPr>
        <w:spacing w:after="20"/>
      </w:pPr>
      <w:r>
        <w:rPr>
          <w:b/>
          <w:sz w:val="18"/>
          <w:szCs w:val="18"/>
        </w:rPr>
        <w:t xml:space="preserve">Estado da cadeia de evidências: </w:t>
      </w:r>
      <w:r>
        <w:rPr>
          <w:sz w:val="18"/>
          <w:szCs w:val="18"/>
        </w:rPr>
        <w:t xml:space="preserve">inválida (suspeita de manipulação)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48</w:t>
      </w:r>
    </w:p>
    <w:p>
      <w:pPr>
        <w:spacing w:after="20"/>
      </w:pPr>
      <w:r>
        <w:rPr>
          <w:b/>
          <w:sz w:val="18"/>
          <w:szCs w:val="18"/>
        </w:rPr>
        <w:t xml:space="preserve">Verificação aprovada: </w:t>
      </w:r>
      <w:r>
        <w:rPr>
          <w:sz w:val="18"/>
          <w:szCs w:val="18"/>
        </w:rPr>
        <w:t xml:space="preserve">Não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Ancoragem simulada (integração com o PageCipher pendente) — identificada como simulação.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1812"/>
        <w:gridCol w:w="1812"/>
        <w:gridCol w:w="1812"/>
        <w:gridCol w:w="1812"/>
        <w:gridCol w:w="1812"/>
      </w:tblGrid>
      <w:tr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#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Carimbo temporal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Ator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Ação</w:t>
            </w:r>
          </w:p>
        </w:tc>
        <w:tc>
          <w:tcPr>
            <w:tcW w:w="1812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Hash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774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2026-09-04T06:34:32.478Z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469a7ca25327…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808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2026-09-04T06:39:22.433Z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1dafca41969b…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2026-09-04T07:25:53.694Z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3a6799674772…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913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2026-09-04T07:25:53.834Z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c04705de8a41…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942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2026-09-04T07:26:05.247Z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4dbec329df58…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962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2026-09-04T07:26:44.379Z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fb02cc2dbf6d…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970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2026-09-04T07:26:44.671Z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a4fcc5f32428…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992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2026-09-04T07:27:13.128Z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e2e8643a73e7…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996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2026-09-04T07:27:24.063Z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d789e0506a20…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2026-09-04T07:27:52.515Z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65c5954bb6b4…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1009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2026-09-04T07:27:52.562Z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30307266ae23…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1034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2026-09-04T07:31:25.888Z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1426380eae71…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1040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2026-09-04T07:32:35.968Z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6675905eb1ed…</w:t>
            </w:r>
          </w:p>
        </w:tc>
      </w:tr>
      <w:tr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1048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2026-09-04T07:33:49.690Z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actor_system_humanose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governance_report_generated</w:t>
            </w:r>
          </w:p>
        </w:tc>
        <w:tc>
          <w:tcPr>
            <w:tcW w:w="1812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b61db8bc6228…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Estado da âncora PageCipher</w:t>
      </w:r>
    </w:p>
    <w:p>
      <w:pPr>
        <w:spacing w:after="20"/>
      </w:pPr>
      <w:r>
        <w:rPr>
          <w:b/>
          <w:sz w:val="18"/>
          <w:szCs w:val="18"/>
        </w:rPr>
        <w:t xml:space="preserve">Estado de integração PageCipher: </w:t>
      </w:r>
      <w:r>
        <w:rPr>
          <w:sz w:val="18"/>
          <w:szCs w:val="18"/>
        </w:rPr>
        <w:t xml:space="preserve">Ativo (integração HTTP com o PageCipher)</w:t>
      </w:r>
    </w:p>
    <w:p>
      <w:pPr>
        <w:spacing w:after="20"/>
      </w:pPr>
      <w:r>
        <w:rPr>
          <w:b/>
          <w:sz w:val="18"/>
          <w:szCs w:val="18"/>
        </w:rPr>
        <w:t xml:space="preserve">Estado da âncora PageCipher: </w:t>
      </w:r>
      <w:r>
        <w:rPr>
          <w:sz w:val="18"/>
          <w:szCs w:val="18"/>
        </w:rPr>
        <w:t xml:space="preserve">44/48 Ancorado</w:t>
      </w:r>
    </w:p>
    <w:p>
      <w:pPr>
        <w:spacing w:after="20"/>
      </w:pPr>
      <w:r>
        <w:rPr>
          <w:b/>
          <w:sz w:val="18"/>
          <w:szCs w:val="18"/>
        </w:rPr>
        <w:t xml:space="preserve">Referência da âncora PageCipher: </w:t>
      </w:r>
      <w:r>
        <w:rPr>
          <w:sz w:val="18"/>
          <w:szCs w:val="18"/>
        </w:rPr>
        <w:t xml:space="preserve">pagecipher:86ae890eb0f5b94713ac5a91368567b0</w:t>
      </w:r>
    </w:p>
    <w:p>
      <w:pPr>
        <w:spacing w:after="20"/>
      </w:pPr>
      <w:r>
        <w:rPr>
          <w:b/>
          <w:sz w:val="18"/>
          <w:szCs w:val="18"/>
        </w:rPr>
        <w:t xml:space="preserve">Última tentativa de ancoragem: </w:t>
      </w:r>
      <w:r>
        <w:rPr>
          <w:sz w:val="18"/>
          <w:szCs w:val="18"/>
        </w:rPr>
        <w:t xml:space="preserve">2026-09-04T07:33:49.695Z</w:t>
      </w:r>
    </w:p>
    <w:p>
      <w:pPr>
        <w:spacing w:after="40"/>
      </w:pPr>
    </w:p>
    <w:p>
      <w:pPr>
        <w:shd w:val="clear" w:color="auto" w:fill="FDF5DB"/>
        <w:spacing w:before="40" w:after="80"/>
      </w:pPr>
      <w:r>
        <w:rPr>
          <w:sz w:val="18"/>
          <w:szCs w:val="18"/>
          <w:color w:val="664D07"/>
        </w:rPr>
        <w:t xml:space="preserve">A âncora PageCipher comprova a integridade e a origem da evidência — não certifica conformidade jurídica.</w:t>
      </w:r>
    </w:p>
    <w:p>
      <w:pPr>
        <w:spacing w:before="160" w:after="60"/>
      </w:pPr>
      <w:r>
        <w:rPr>
          <w:b/>
          <w:sz w:val="30"/>
          <w:szCs w:val="30"/>
        </w:rPr>
        <w:t xml:space="preserve">Riscos e lacunas em aberto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15 controlos em aberto sem evidência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Aprovação humana pendente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Existe uma constelação do Anexo III no contexto de emprego? Recomenda-se análise jurídica externa.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Avisos legais (Disclaimer)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não certifica conformidade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classificação de risco é preliminar e não substitui uma avaliação jurídica.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avaliação jurídica pode exigir uma análise jurídica especializada.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Este relatório destina-se à preparação de governação e conformidade com base em evidências. Não constitui aconselhamento jurídico, certificação nem atestado de conformidade.</w:t>
      </w:r>
    </w:p>
    <w:p>
      <w:pPr>
        <w:ind w:left="240"/>
        <w:spacing w:after="20"/>
      </w:pPr>
      <w:r>
        <w:rPr>
          <w:sz w:val="19"/>
          <w:szCs w:val="19"/>
        </w:rPr>
        <w:t xml:space="preserve">•  </w:t>
      </w:r>
      <w:r>
        <w:rPr>
          <w:sz w:val="19"/>
          <w:szCs w:val="19"/>
        </w:rPr>
        <w:t xml:space="preserve">A responsabilidade humana mantém-se obrigatória; a IA não toma decisões automáticas sobre pessoas.</w:t>
      </w:r>
    </w:p>
    <w:p>
      <w:pPr>
        <w:spacing w:after="40"/>
      </w:pPr>
    </w:p>
    <w:p>
      <w:pPr>
        <w:spacing w:before="160" w:after="60"/>
      </w:pPr>
      <w:r>
        <w:rPr>
          <w:b/>
          <w:sz w:val="30"/>
          <w:szCs w:val="30"/>
        </w:rPr>
        <w:t xml:space="preserve">Anexo</w:t>
      </w:r>
    </w:p>
    <w:p>
      <w:pPr>
        <w:spacing w:before="160" w:after="60"/>
      </w:pPr>
      <w:r>
        <w:rPr>
          <w:b/>
          <w:sz w:val="25"/>
          <w:szCs w:val="25"/>
        </w:rPr>
        <w:t xml:space="preserve">Catálogo de controlos</w:t>
      </w:r>
    </w:p>
    <w:tbl>
      <w:tblPr>
        <w:tblW w:w="9060" w:type="dxa"/>
        <w:tblBorders>
          <w:top w:val="single" w:sz="4" w:space="0" w:color="C7CDD6"/>
          <w:left w:val="single" w:sz="4" w:space="0" w:color="C7CDD6"/>
          <w:bottom w:val="single" w:sz="4" w:space="0" w:color="C7CDD6"/>
          <w:right w:val="single" w:sz="4" w:space="0" w:color="C7CDD6"/>
          <w:insideH w:val="single" w:sz="4" w:space="0" w:color="C7CDD6"/>
          <w:insideV w:val="single" w:sz="4" w:space="0" w:color="C7CDD6"/>
        </w:tblBorders>
      </w:tblPr>
      <w:tblGrid>
        <w:gridCol w:w="3020"/>
        <w:gridCol w:w="3020"/>
        <w:gridCol w:w="3020"/>
      </w:tblGrid>
      <w:tr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Controlo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Fonte</w:t>
            </w:r>
          </w:p>
        </w:tc>
        <w:tc>
          <w:tcPr>
            <w:tcW w:w="3020" w:type="dxa"/>
            <w:shd w:val="clear" w:color="auto" w:fill="EEF1F7"/>
          </w:tcPr>
          <w:p>
            <w:pPr>
              <w:spacing w:before="20" w:after="20"/>
            </w:pPr>
            <w:r>
              <w:rPr>
                <w:b/>
                <w:sz w:val="17"/>
                <w:szCs w:val="17"/>
              </w:rPr>
              <w:t xml:space="preserve">Referência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Verificação de práticas proibidas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Sistema de gestão de risco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9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Governação de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Documentação técnica (próxima do Anexo IV)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11 / Annex IV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Registo de eventos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Transparência e identificação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13 / 50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Supervisão humana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Exatidão, robustez, cibersegurança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eu_ai_act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15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Licitude do tratamento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6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Minimização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5(1c)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Avaliação de impacto sobre a proteção de dados (AIPD)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35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Direitos dos titulares dos dados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gdpr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DSGVO Art. 12–22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Monitorização de enviesamentos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internal_policy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Policy AI-BIAS-01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Literacia em IA dos intervenientes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ai_literacy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EU AI Act Art. 4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Controlo de acessos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security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ISO 27001 A.9 (Referenz)</w:t>
            </w:r>
          </w:p>
        </w:tc>
      </w:tr>
      <w:tr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Cadeia de auditoria/evidências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audit</w:t>
            </w:r>
          </w:p>
        </w:tc>
        <w:tc>
          <w:tcPr>
            <w:tcW w:w="3020" w:type="dxa"/>
          </w:tcPr>
          <w:p>
            <w:pPr>
              <w:spacing w:before="20" w:after="20"/>
            </w:pPr>
            <w:r>
              <w:rPr>
                <w:sz w:val="17"/>
                <w:szCs w:val="17"/>
              </w:rPr>
              <w:t xml:space="preserve">SysTec Evidence Standard (ADR-003)</w:t>
            </w:r>
          </w:p>
        </w:tc>
      </w:tr>
    </w:tbl>
    <w:p>
      <w:pPr>
        <w:spacing w:after="60"/>
      </w:pPr>
    </w:p>
    <w:p>
      <w:pPr>
        <w:spacing w:before="160" w:after="60"/>
      </w:pPr>
      <w:r>
        <w:rPr>
          <w:b/>
          <w:sz w:val="25"/>
          <w:szCs w:val="25"/>
        </w:rPr>
        <w:t xml:space="preserve">Metadados de geração</w:t>
      </w:r>
    </w:p>
    <w:p>
      <w:pPr>
        <w:spacing w:after="20"/>
      </w:pPr>
      <w:r>
        <w:rPr>
          <w:b/>
          <w:sz w:val="18"/>
          <w:szCs w:val="18"/>
        </w:rPr>
        <w:t xml:space="preserve">Criado em: </w:t>
      </w:r>
      <w:r>
        <w:rPr>
          <w:sz w:val="18"/>
          <w:szCs w:val="18"/>
        </w:rPr>
        <w:t xml:space="preserve">2026-09-04T07:39:25.359Z</w:t>
      </w:r>
    </w:p>
    <w:p>
      <w:pPr>
        <w:spacing w:after="20"/>
      </w:pPr>
      <w:r>
        <w:rPr>
          <w:b/>
          <w:sz w:val="18"/>
          <w:szCs w:val="18"/>
        </w:rPr>
        <w:t xml:space="preserve">Versão: </w:t>
      </w:r>
      <w:r>
        <w:rPr>
          <w:sz w:val="18"/>
          <w:szCs w:val="18"/>
        </w:rPr>
        <w:t xml:space="preserve">0.1.0</w:t>
      </w:r>
    </w:p>
    <w:p>
      <w:pPr>
        <w:spacing w:after="20"/>
      </w:pPr>
      <w:r>
        <w:rPr>
          <w:b/>
          <w:sz w:val="18"/>
          <w:szCs w:val="18"/>
        </w:rPr>
        <w:t xml:space="preserve">Cobertura linguística: </w:t>
      </w:r>
      <w:r>
        <w:rPr>
          <w:sz w:val="18"/>
          <w:szCs w:val="18"/>
        </w:rPr>
        <w:t xml:space="preserve">100 %</w:t>
      </w:r>
    </w:p>
    <w:p>
      <w:pPr>
        <w:spacing w:after="20"/>
      </w:pPr>
      <w:r>
        <w:rPr>
          <w:b/>
          <w:sz w:val="18"/>
          <w:szCs w:val="18"/>
        </w:rPr>
        <w:t xml:space="preserve">Número de eventos de evidência: </w:t>
      </w:r>
      <w:r>
        <w:rPr>
          <w:sz w:val="18"/>
          <w:szCs w:val="18"/>
        </w:rPr>
        <w:t xml:space="preserve">1063</w:t>
      </w:r>
    </w:p>
    <w:p>
      <w:pPr>
        <w:spacing w:after="40"/>
      </w:pPr>
    </w:p>
    <w:p>
      <w:sectPr>
        <w:pgSz w:w="11906" w:h="16838"/>
        <w:pgMar w:top="1134" w:right="1134" w:bottom="1134" w:left="1134" w:header="720" w:footer="720" w:gutter="0"/>
      </w:sectPr>
    </w:p>
  </w:body>
</w:document>
</file>