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sz w:val="44"/>
          <w:szCs w:val="44"/>
        </w:rPr>
        <w:t xml:space="preserve">Αναφορά διακυβέρνησης — Υποστήριξη ολοκλήρωσης (MIIOS X)</w:t>
      </w:r>
    </w:p>
    <w:p>
      <w:pPr>
        <w:spacing w:after="80"/>
      </w:pPr>
      <w:r>
        <w:rPr>
          <w:sz w:val="20"/>
          <w:szCs w:val="20"/>
          <w:color w:val="6B7280"/>
        </w:rPr>
        <w:t xml:space="preserve">HumanOSE — προετοιμασία διακυβέρνησης, υποστήριξη διασφάλισης (assurance) και αποδεικτικά στοιχεία έτοιμα για έλεγχο (audit-ready). Καμία βεβαίωση νομικής συμμόρφωσης.</w:t>
      </w:r>
    </w:p>
    <w:p>
      <w:pPr>
        <w:spacing w:after="20"/>
      </w:pPr>
      <w:r>
        <w:rPr>
          <w:b/>
          <w:sz w:val="18"/>
          <w:szCs w:val="18"/>
        </w:rPr>
        <w:t xml:space="preserve">Προϊόν: </w:t>
      </w:r>
      <w:r>
        <w:rPr>
          <w:sz w:val="18"/>
          <w:szCs w:val="18"/>
        </w:rPr>
        <w:t xml:space="preserve">HumanOSE</w:t>
      </w:r>
    </w:p>
    <w:p>
      <w:pPr>
        <w:spacing w:after="20"/>
      </w:pPr>
      <w:r>
        <w:rPr>
          <w:b/>
          <w:sz w:val="18"/>
          <w:szCs w:val="18"/>
        </w:rPr>
        <w:t xml:space="preserve">Περίπτωση χρήσης: </w:t>
      </w:r>
      <w:r>
        <w:rPr>
          <w:sz w:val="18"/>
          <w:szCs w:val="18"/>
        </w:rPr>
        <w:t xml:space="preserve">uc_miios_001 (v1)</w:t>
      </w:r>
    </w:p>
    <w:p>
      <w:pPr>
        <w:spacing w:after="20"/>
      </w:pPr>
      <w:r>
        <w:rPr>
          <w:b/>
          <w:sz w:val="18"/>
          <w:szCs w:val="18"/>
        </w:rPr>
        <w:t xml:space="preserve">Σύστημα προέλευσης: </w:t>
      </w:r>
      <w:r>
        <w:rPr>
          <w:sz w:val="18"/>
          <w:szCs w:val="18"/>
        </w:rPr>
        <w:t xml:space="preserve">miios-x</w:t>
      </w:r>
    </w:p>
    <w:p>
      <w:pPr>
        <w:spacing w:after="20"/>
      </w:pPr>
      <w:r>
        <w:rPr>
          <w:b/>
          <w:sz w:val="18"/>
          <w:szCs w:val="18"/>
        </w:rPr>
        <w:t xml:space="preserve">Γλώσσα: </w:t>
      </w:r>
      <w:r>
        <w:rPr>
          <w:sz w:val="18"/>
          <w:szCs w:val="18"/>
        </w:rPr>
        <w:t xml:space="preserve">EL</w:t>
      </w:r>
    </w:p>
    <w:p>
      <w:pPr>
        <w:spacing w:after="20"/>
      </w:pPr>
      <w:r>
        <w:rPr>
          <w:b/>
          <w:sz w:val="18"/>
          <w:szCs w:val="18"/>
        </w:rPr>
        <w:t xml:space="preserve">Λειτουργία δεδομένων: </w:t>
      </w:r>
      <w:r>
        <w:rPr>
          <w:sz w:val="18"/>
          <w:szCs w:val="18"/>
        </w:rPr>
        <w:t xml:space="preserve">συνθετικά</w:t>
      </w:r>
    </w:p>
    <w:p>
      <w:pPr>
        <w:spacing w:after="20"/>
      </w:pPr>
      <w:r>
        <w:rPr>
          <w:b/>
          <w:sz w:val="18"/>
          <w:szCs w:val="18"/>
        </w:rPr>
        <w:t xml:space="preserve">Δημιουργήθηκε στις: </w:t>
      </w:r>
      <w:r>
        <w:rPr>
          <w:sz w:val="18"/>
          <w:szCs w:val="18"/>
        </w:rPr>
        <w:t xml:space="preserve">2026-09-04T07:42:47.191Z</w:t>
      </w:r>
    </w:p>
    <w:p>
      <w:pPr>
        <w:spacing w:after="20"/>
      </w:pPr>
      <w:r>
        <w:rPr>
          <w:b/>
          <w:sz w:val="18"/>
          <w:szCs w:val="18"/>
        </w:rPr>
        <w:t xml:space="preserve">Κατάσταση αναφοράς: </w:t>
      </w:r>
      <w:r>
        <w:rPr>
          <w:sz w:val="18"/>
          <w:szCs w:val="18"/>
        </w:rPr>
        <w:t xml:space="preserve">Προσωρινά ταξινομημένο</w:t>
      </w:r>
    </w:p>
    <w:p>
      <w:pPr>
        <w:spacing w:after="20"/>
      </w:pPr>
      <w:r>
        <w:rPr>
          <w:b/>
          <w:sz w:val="18"/>
          <w:szCs w:val="18"/>
        </w:rPr>
        <w:t xml:space="preserve">Hash ακεραιότητας: </w:t>
      </w:r>
      <w:r>
        <w:rPr>
          <w:sz w:val="18"/>
          <w:szCs w:val="18"/>
        </w:rPr>
        <w:t xml:space="preserve">fbad10d7430f108e…</w:t>
      </w:r>
    </w:p>
    <w:p>
      <w:pPr>
        <w:spacing w:after="6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Αυτή η αναφορά βασίζεται αποκλειστικά σε συνθετικά δεδομένα (πιλοτική λειτουργία). Κανένα πραγματικό προσωπικό δεδομένο.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Αυτή η αναφορά δεν πιστοποιεί νομική συμμόρφωση.</w:t>
      </w:r>
    </w:p>
    <w:p>
      <w:pPr>
        <w:spacing w:before="160" w:after="60"/>
      </w:pPr>
      <w:r>
        <w:rPr>
          <w:b/>
          <w:sz w:val="30"/>
          <w:szCs w:val="30"/>
        </w:rPr>
        <w:t xml:space="preserve">Σύνοψη για τους λαμβάνοντες αποφάσεις</w:t>
      </w:r>
    </w:p>
    <w:p>
      <w:pPr>
        <w:spacing w:after="60"/>
      </w:pPr>
      <w:r>
        <w:rPr>
          <w:sz w:val="19"/>
          <w:szCs w:val="19"/>
        </w:rPr>
        <w:t xml:space="preserve">Ταξινόμηση και υποδείξεις σε συνθετικά μεταδεδομένα ολοκλήρωσης — χωρίς live MIIOS, χωρίς PII.</w:t>
      </w:r>
    </w:p>
    <w:p>
      <w:pPr>
        <w:spacing w:after="20"/>
      </w:pPr>
      <w:r>
        <w:rPr>
          <w:b/>
          <w:sz w:val="18"/>
          <w:szCs w:val="18"/>
        </w:rPr>
        <w:t xml:space="preserve">Προβλεπόμενος σκοπός: </w:t>
      </w:r>
      <w:r>
        <w:rPr>
          <w:sz w:val="18"/>
          <w:szCs w:val="18"/>
        </w:rPr>
        <w:t xml:space="preserve">Υποδείξεις ολοκλήρωσης με ανθρώπινο έλεγχο — χωρίς αυτόματη σύζευξη συστημάτων.</w:t>
      </w:r>
    </w:p>
    <w:p>
      <w:pPr>
        <w:spacing w:after="20"/>
      </w:pPr>
      <w:r>
        <w:rPr>
          <w:b/>
          <w:sz w:val="18"/>
          <w:szCs w:val="18"/>
        </w:rPr>
        <w:t xml:space="preserve">Προκαταρκτική κλάση κινδύνου: </w:t>
      </w:r>
      <w:r>
        <w:rPr>
          <w:sz w:val="18"/>
          <w:szCs w:val="18"/>
        </w:rPr>
        <w:t xml:space="preserve">Περιορισμένος κίνδυνος — ελέγξτε τις υποχρεώσεις διαφάνειας</w:t>
      </w:r>
    </w:p>
    <w:p>
      <w:pPr>
        <w:spacing w:after="20"/>
      </w:pPr>
      <w:r>
        <w:rPr>
          <w:b/>
          <w:sz w:val="18"/>
          <w:szCs w:val="18"/>
        </w:rPr>
        <w:t xml:space="preserve">Απαιτείται ανθρώπινη εποπτεία: </w:t>
      </w:r>
      <w:r>
        <w:rPr>
          <w:sz w:val="18"/>
          <w:szCs w:val="18"/>
        </w:rPr>
        <w:t xml:space="preserve">Όχι</w:t>
      </w:r>
    </w:p>
    <w:p>
      <w:pPr>
        <w:spacing w:after="20"/>
      </w:pPr>
      <w:r>
        <w:rPr>
          <w:b/>
          <w:sz w:val="18"/>
          <w:szCs w:val="18"/>
        </w:rPr>
        <w:t xml:space="preserve">Governance Readiness: </w:t>
      </w:r>
      <w:r>
        <w:rPr>
          <w:sz w:val="18"/>
          <w:szCs w:val="18"/>
        </w:rPr>
        <w:t xml:space="preserve">1/2 Έλεγχοι με αποδεικτικό στοιχείο/ελεγμένοι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Η Governance Readiness δηλώνει τον βαθμό προετοιμασίας (αποδεικτικά στοιχεία διαθέσιμα/ελεγμένα) — δεν πιστοποιεί συμμόρφωση.</w:t>
      </w:r>
    </w:p>
    <w:p>
      <w:pPr>
        <w:spacing w:before="160" w:after="60"/>
      </w:pPr>
      <w:r>
        <w:rPr>
          <w:b/>
          <w:sz w:val="30"/>
          <w:szCs w:val="30"/>
        </w:rPr>
        <w:t xml:space="preserve">Προφίλ περίπτωσης χρήσης</w:t>
      </w:r>
    </w:p>
    <w:p>
      <w:pPr>
        <w:spacing w:after="20"/>
      </w:pPr>
      <w:r>
        <w:rPr>
          <w:b/>
          <w:sz w:val="18"/>
          <w:szCs w:val="18"/>
        </w:rPr>
        <w:t xml:space="preserve">Προβλεπόμενος σκοπός: </w:t>
      </w:r>
      <w:r>
        <w:rPr>
          <w:sz w:val="18"/>
          <w:szCs w:val="18"/>
        </w:rPr>
        <w:t xml:space="preserve">Υποδείξεις ολοκλήρωσης με ανθρώπινο έλεγχο — χωρίς αυτόματη σύζευξη συστημάτων.</w:t>
      </w:r>
    </w:p>
    <w:p>
      <w:pPr>
        <w:spacing w:after="20"/>
      </w:pPr>
      <w:r>
        <w:rPr>
          <w:b/>
          <w:sz w:val="18"/>
          <w:szCs w:val="18"/>
        </w:rPr>
        <w:t xml:space="preserve">Θιγόμενες ομάδες προσώπων: </w:t>
      </w:r>
      <w:r>
        <w:rPr>
          <w:sz w:val="18"/>
          <w:szCs w:val="18"/>
        </w:rPr>
        <w:t xml:space="preserve">—</w:t>
      </w:r>
    </w:p>
    <w:p>
      <w:pPr>
        <w:spacing w:after="20"/>
      </w:pPr>
      <w:r>
        <w:rPr>
          <w:b/>
          <w:sz w:val="18"/>
          <w:szCs w:val="18"/>
        </w:rPr>
        <w:t xml:space="preserve">Πηγές δεδομένων: </w:t>
      </w:r>
      <w:r>
        <w:rPr>
          <w:sz w:val="18"/>
          <w:szCs w:val="18"/>
        </w:rPr>
        <w:t xml:space="preserve">integrationsmetadaten_synthetisch</w:t>
      </w:r>
    </w:p>
    <w:p>
      <w:pPr>
        <w:spacing w:after="20"/>
      </w:pPr>
      <w:r>
        <w:rPr>
          <w:b/>
          <w:sz w:val="18"/>
          <w:szCs w:val="18"/>
        </w:rPr>
        <w:t xml:space="preserve">Λειτουργία AI: </w:t>
      </w:r>
      <w:r>
        <w:rPr>
          <w:sz w:val="18"/>
          <w:szCs w:val="18"/>
        </w:rPr>
        <w:t xml:space="preserve">classification, recommendation</w:t>
      </w:r>
    </w:p>
    <w:p>
      <w:pPr>
        <w:spacing w:after="20"/>
      </w:pPr>
      <w:r>
        <w:rPr>
          <w:b/>
          <w:sz w:val="18"/>
          <w:szCs w:val="18"/>
        </w:rPr>
        <w:t xml:space="preserve">Πιθανές επιπτώσεις: </w:t>
      </w:r>
      <w:r>
        <w:rPr>
          <w:sz w:val="18"/>
          <w:szCs w:val="18"/>
        </w:rPr>
        <w:t xml:space="preserve">operativ</w:t>
      </w:r>
    </w:p>
    <w:p>
      <w:pPr>
        <w:spacing w:after="20"/>
      </w:pPr>
      <w:r>
        <w:rPr>
          <w:b/>
          <w:sz w:val="18"/>
          <w:szCs w:val="18"/>
        </w:rPr>
        <w:t xml:space="preserve">Νομικός χώρος: </w:t>
      </w:r>
      <w:r>
        <w:rPr>
          <w:sz w:val="18"/>
          <w:szCs w:val="18"/>
        </w:rPr>
        <w:t xml:space="preserve">eu-de</w:t>
      </w:r>
    </w:p>
    <w:p>
      <w:pPr>
        <w:spacing w:after="20"/>
      </w:pPr>
      <w:r>
        <w:rPr>
          <w:b/>
          <w:sz w:val="18"/>
          <w:szCs w:val="18"/>
        </w:rPr>
        <w:t xml:space="preserve">Σύστημα προέλευσης: </w:t>
      </w:r>
      <w:r>
        <w:rPr>
          <w:sz w:val="18"/>
          <w:szCs w:val="18"/>
        </w:rPr>
        <w:t xml:space="preserve">miios-x</w:t>
      </w:r>
    </w:p>
    <w:p>
      <w:pPr>
        <w:spacing w:after="20"/>
      </w:pPr>
      <w:r>
        <w:rPr>
          <w:b/>
          <w:sz w:val="18"/>
          <w:szCs w:val="18"/>
        </w:rPr>
        <w:t xml:space="preserve">Κατάσταση κύκλου ζωής: </w:t>
      </w:r>
      <w:r>
        <w:rPr>
          <w:sz w:val="18"/>
          <w:szCs w:val="18"/>
        </w:rPr>
        <w:t xml:space="preserve">Προσωρινά ταξινομημένο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Αξιολόγηση κινδύνου (προκαταρκτική)</w:t>
      </w:r>
    </w:p>
    <w:p>
      <w:pPr>
        <w:spacing w:after="20"/>
      </w:pPr>
      <w:r>
        <w:rPr>
          <w:b/>
          <w:sz w:val="18"/>
          <w:szCs w:val="18"/>
        </w:rPr>
        <w:t xml:space="preserve">Προκαταρκτική κλάση κινδύνου: </w:t>
      </w:r>
      <w:r>
        <w:rPr>
          <w:sz w:val="18"/>
          <w:szCs w:val="18"/>
        </w:rPr>
        <w:t xml:space="preserve">Περιορισμένος κίνδυνος — ελέγξτε τις υποχρεώσεις διαφάνειας</w:t>
      </w:r>
    </w:p>
    <w:p>
      <w:pPr>
        <w:spacing w:after="20"/>
      </w:pPr>
      <w:r>
        <w:rPr>
          <w:b/>
          <w:sz w:val="18"/>
          <w:szCs w:val="18"/>
        </w:rPr>
        <w:t xml:space="preserve">Βαθμός βεβαιότητας της εκτίμησης: </w:t>
      </w:r>
      <w:r>
        <w:rPr>
          <w:sz w:val="18"/>
          <w:szCs w:val="18"/>
        </w:rPr>
        <w:t xml:space="preserve">high</w:t>
      </w:r>
    </w:p>
    <w:p>
      <w:pPr>
        <w:spacing w:after="20"/>
      </w:pPr>
      <w:r>
        <w:rPr>
          <w:b/>
          <w:sz w:val="18"/>
          <w:szCs w:val="18"/>
        </w:rPr>
        <w:t xml:space="preserve">Σύνολο κανόνων: </w:t>
      </w:r>
      <w:r>
        <w:rPr>
          <w:sz w:val="18"/>
          <w:szCs w:val="18"/>
        </w:rPr>
        <w:t xml:space="preserve">v0.1.0</w:t>
      </w:r>
    </w:p>
    <w:p>
      <w:pPr>
        <w:spacing w:after="20"/>
      </w:pPr>
      <w:r>
        <w:rPr>
          <w:b/>
          <w:sz w:val="18"/>
          <w:szCs w:val="18"/>
        </w:rPr>
        <w:t xml:space="preserve">Απαιτείται ανθρώπινος έλεγχος: </w:t>
      </w:r>
      <w:r>
        <w:rPr>
          <w:sz w:val="18"/>
          <w:szCs w:val="18"/>
        </w:rPr>
        <w:t xml:space="preserve">Όχι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Η ταξινόμηση κινδύνου είναι προκαταρκτική και δεν υποκαθιστά νομική αξιολόγηση.</w:t>
      </w:r>
    </w:p>
    <w:p>
      <w:pPr>
        <w:spacing w:before="160" w:after="60"/>
      </w:pPr>
      <w:r>
        <w:rPr>
          <w:b/>
          <w:sz w:val="25"/>
          <w:szCs w:val="25"/>
        </w:rPr>
        <w:t xml:space="preserve">Αιτιολόγηση (αναφορά κανόνα)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R-LIM-TRANSPARENCY-01 — Παραγωγική ή προτεινόμενη λειτουργία AI — πρέπει να ελεγχθούν οι υποχρεώσεις διαφάνειας και επισήμανσης.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Συνιστώμενα μέτρα μετριασμού κινδύνου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Επισήμανση του περιεχομένου που παράγεται από AI ως τέτοιου· δυνατότητα κλιμάκωσης σε άνθρωπο ανά πάσα στιγμή.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Αβεβαιότητα της εκτίμησης</w:t>
      </w:r>
    </w:p>
    <w:p>
      <w:pPr>
        <w:spacing w:after="60"/>
      </w:pPr>
      <w:r>
        <w:rPr>
          <w:sz w:val="19"/>
          <w:szCs w:val="19"/>
        </w:rPr>
        <w:t xml:space="preserve">Το σετ κανόνων v0.1 λειτουργεί με εσωτερικές ευρετικές ελέγχου σχετικά με το EU AI Act, τον GDPR/DSGVO, τον ελβετικό DSG και το πλαίσιο του Ηνωμένου Βασιλείου. Η εκτίμηση εξαρτάται από την πληρότητα των στοιχείων του Registry και δεν υποκαθιστά νομικό έλεγχο.</w:t>
      </w:r>
    </w:p>
    <w:p>
      <w:pPr>
        <w:spacing w:before="160" w:after="60"/>
      </w:pPr>
      <w:r>
        <w:rPr>
          <w:b/>
          <w:sz w:val="30"/>
          <w:szCs w:val="30"/>
        </w:rPr>
        <w:t xml:space="preserve">Επισκόπηση πολιτικών &amp; ελέγχων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Η κατάσταση ελέγχου τεκμηριώνει την εξέταση των αποδεικτικών στοιχείων — δεν πιστοποιεί συμμόρφωση.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2265"/>
        <w:gridCol w:w="2265"/>
        <w:gridCol w:w="2265"/>
        <w:gridCol w:w="2265"/>
      </w:tblGrid>
      <w:tr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Έλεγχος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Παραπομπή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Κατάσταση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Αποδεικτικά στοιχεία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Διαφάνεια &amp; επισήμανση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Επισυνάφθηκε αποδεικτικό στοιχείο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Δεξιότητες AI των εμπλεκομένων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Ανοικτό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Ανοικτά κενά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Δεξιότητες AI των εμπλεκομένων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Ανθρώπινη εποπτεία</w:t>
      </w:r>
    </w:p>
    <w:p>
      <w:pPr>
        <w:spacing w:after="20"/>
      </w:pPr>
      <w:r>
        <w:rPr>
          <w:b/>
          <w:sz w:val="18"/>
          <w:szCs w:val="18"/>
        </w:rPr>
        <w:t xml:space="preserve">Υπεύθυνος άνθρωπος: </w:t>
      </w:r>
      <w:r>
        <w:rPr>
          <w:sz w:val="18"/>
          <w:szCs w:val="18"/>
        </w:rPr>
        <w:t xml:space="preserve">Ανάθεση εποπτείας σε εκκρεμότητα — πριν από την έγκριση πρέπει να οριστεί ένας final responsible human.</w:t>
      </w:r>
    </w:p>
    <w:p>
      <w:pPr>
        <w:spacing w:after="20"/>
      </w:pPr>
      <w:r>
        <w:rPr>
          <w:b/>
          <w:sz w:val="18"/>
          <w:szCs w:val="18"/>
        </w:rPr>
        <w:t xml:space="preserve">Πρόσωπο ελέγχου: </w:t>
      </w:r>
      <w:r>
        <w:rPr>
          <w:sz w:val="18"/>
          <w:szCs w:val="18"/>
        </w:rPr>
        <w:t xml:space="preserve">—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Η ανθρώπινη ευθύνη παραμένει υποχρεωτική· η AI δεν λαμβάνει αυτόματες αποφάσεις για πρόσωπα.</w:t>
      </w:r>
    </w:p>
    <w:p>
      <w:pPr>
        <w:spacing w:before="160" w:after="60"/>
      </w:pPr>
      <w:r>
        <w:rPr>
          <w:b/>
          <w:sz w:val="25"/>
          <w:szCs w:val="25"/>
        </w:rPr>
        <w:t xml:space="preserve">Ιστορικό αναθεώρησης</w:t>
      </w:r>
    </w:p>
    <w:p>
      <w:pPr>
        <w:spacing w:after="60"/>
      </w:pPr>
      <w:r>
        <w:rPr>
          <w:sz w:val="19"/>
          <w:szCs w:val="19"/>
        </w:rPr>
        <w:t xml:space="preserve">Δεν έχουν καταγραφεί ακόμη αποφάσεις αναθεώρησης.</w:t>
      </w:r>
    </w:p>
    <w:p>
      <w:pPr>
        <w:spacing w:before="160" w:after="60"/>
      </w:pPr>
      <w:r>
        <w:rPr>
          <w:b/>
          <w:sz w:val="30"/>
          <w:szCs w:val="30"/>
        </w:rPr>
        <w:t xml:space="preserve">Σύνοψη αποδεικτικών στοιχείων</w:t>
      </w:r>
    </w:p>
    <w:p>
      <w:pPr>
        <w:spacing w:after="20"/>
      </w:pPr>
      <w:r>
        <w:rPr>
          <w:b/>
          <w:sz w:val="18"/>
          <w:szCs w:val="18"/>
        </w:rPr>
        <w:t xml:space="preserve">Κατάσταση της αλυσίδας αποδεικτικών στοιχείων: </w:t>
      </w:r>
      <w:r>
        <w:rPr>
          <w:sz w:val="18"/>
          <w:szCs w:val="18"/>
        </w:rPr>
        <w:t xml:space="preserve">άκυρη (υπόνοια παραποίησης)</w:t>
      </w:r>
    </w:p>
    <w:p>
      <w:pPr>
        <w:spacing w:after="20"/>
      </w:pPr>
      <w:r>
        <w:rPr>
          <w:b/>
          <w:sz w:val="18"/>
          <w:szCs w:val="18"/>
        </w:rPr>
        <w:t xml:space="preserve">Αριθμός συμβάντων τεκμηρίων: </w:t>
      </w:r>
      <w:r>
        <w:rPr>
          <w:sz w:val="18"/>
          <w:szCs w:val="18"/>
        </w:rPr>
        <w:t xml:space="preserve">40</w:t>
      </w:r>
    </w:p>
    <w:p>
      <w:pPr>
        <w:spacing w:after="20"/>
      </w:pPr>
      <w:r>
        <w:rPr>
          <w:b/>
          <w:sz w:val="18"/>
          <w:szCs w:val="18"/>
        </w:rPr>
        <w:t xml:space="preserve">Επιτυχής επαλήθευση: </w:t>
      </w:r>
      <w:r>
        <w:rPr>
          <w:sz w:val="18"/>
          <w:szCs w:val="18"/>
        </w:rPr>
        <w:t xml:space="preserve">Όχι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Προσομοιωμένη αγκύρωση (ενσωμάτωση PageCipher σε εκκρεμότητα) — επισημαίνεται ως προσομοίωση.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1812"/>
        <w:gridCol w:w="1812"/>
        <w:gridCol w:w="1812"/>
        <w:gridCol w:w="1812"/>
        <w:gridCol w:w="1812"/>
      </w:tblGrid>
      <w:tr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#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Χρονική σφραγίδα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Παράγοντας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Ενέργεια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Hash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350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2026-08-31T04:58:19.965Z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67e9c767dc98…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352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2026-08-31T04:58:20.449Z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db2a7dbd122c…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360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2026-08-31T04:58:22.450Z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36531b87dbe4…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362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2026-08-31T04:58:22.981Z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286bb7d07a34…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740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2026-09-04T05:44:08.902Z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9aa50e18857f…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818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2026-09-04T06:42:27.362Z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037b52aacc64…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824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2026-09-04T06:44:03.766Z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63b61486359f…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844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2026-09-04T06:47:30.947Z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142ac5eb69c0…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1098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2026-09-04T07:40:21.648Z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6286099846f7…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1124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2026-09-04T07:41:29.245Z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39566fceadd7…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1136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2026-09-04T07:41:32.286Z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63903e91c32d…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1146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2026-09-04T07:42:05.041Z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afb7195ad6e4…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1148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2026-09-04T07:42:41.663Z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5cf920cda3b8…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1152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2026-09-04T07:42:43.356Z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1bf8914ddd21…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Κατάσταση αγκύρωσης PageCipher</w:t>
      </w:r>
    </w:p>
    <w:p>
      <w:pPr>
        <w:spacing w:after="20"/>
      </w:pPr>
      <w:r>
        <w:rPr>
          <w:b/>
          <w:sz w:val="18"/>
          <w:szCs w:val="18"/>
        </w:rPr>
        <w:t xml:space="preserve">Κατάσταση ενσωμάτωσης PageCipher: </w:t>
      </w:r>
      <w:r>
        <w:rPr>
          <w:sz w:val="18"/>
          <w:szCs w:val="18"/>
        </w:rPr>
        <w:t xml:space="preserve">Ενεργή (σύνδεση HTTP με PageCipher)</w:t>
      </w:r>
    </w:p>
    <w:p>
      <w:pPr>
        <w:spacing w:after="20"/>
      </w:pPr>
      <w:r>
        <w:rPr>
          <w:b/>
          <w:sz w:val="18"/>
          <w:szCs w:val="18"/>
        </w:rPr>
        <w:t xml:space="preserve">Κατάσταση αγκύρωσης PageCipher: </w:t>
      </w:r>
      <w:r>
        <w:rPr>
          <w:sz w:val="18"/>
          <w:szCs w:val="18"/>
        </w:rPr>
        <w:t xml:space="preserve">34/40 Αγκυρώθηκε</w:t>
      </w:r>
    </w:p>
    <w:p>
      <w:pPr>
        <w:spacing w:after="20"/>
      </w:pPr>
      <w:r>
        <w:rPr>
          <w:b/>
          <w:sz w:val="18"/>
          <w:szCs w:val="18"/>
        </w:rPr>
        <w:t xml:space="preserve">Αναφορά αγκύρωσης PageCipher: </w:t>
      </w:r>
      <w:r>
        <w:rPr>
          <w:sz w:val="18"/>
          <w:szCs w:val="18"/>
        </w:rPr>
        <w:t xml:space="preserve">pagecipher:8d152a155d83d8fa52653917d71511a1</w:t>
      </w:r>
    </w:p>
    <w:p>
      <w:pPr>
        <w:spacing w:after="20"/>
      </w:pPr>
      <w:r>
        <w:rPr>
          <w:b/>
          <w:sz w:val="18"/>
          <w:szCs w:val="18"/>
        </w:rPr>
        <w:t xml:space="preserve">Τελευταία προσπάθεια αγκύρωσης: </w:t>
      </w:r>
      <w:r>
        <w:rPr>
          <w:sz w:val="18"/>
          <w:szCs w:val="18"/>
        </w:rPr>
        <w:t xml:space="preserve">2026-09-04T07:42:43.362Z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Η αγκύρωση PageCipher τεκμηριώνει την ακεραιότητα και την προέλευση των αποδεικτικών στοιχείων — δεν πιστοποιεί νομική συμμόρφωση.</w:t>
      </w:r>
    </w:p>
    <w:p>
      <w:pPr>
        <w:spacing w:before="160" w:after="60"/>
      </w:pPr>
      <w:r>
        <w:rPr>
          <w:b/>
          <w:sz w:val="30"/>
          <w:szCs w:val="30"/>
        </w:rPr>
        <w:t xml:space="preserve">Ανοικτοί κίνδυνοι &amp; κενά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1 ανοικτοί έλεγχοι χωρίς αποδεικτικό στοιχείο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Νομικές επισημάνσεις (Disclaimer)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Αυτή η αναφορά δεν πιστοποιεί νομική συμμόρφωση.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Η ταξινόμηση κινδύνου είναι προκαταρκτική και δεν υποκαθιστά νομική αξιολόγηση.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Η νομική αξιολόγηση ενδέχεται να απαιτεί εξειδικευμένο νομικό έλεγχο.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Αυτή η αναφορά εξυπηρετεί την προετοιμασία διακυβέρνησης και συμμόρφωσης σε βάση αποδεικτικών στοιχείων. Δεν αποτελεί νομική συμβουλή, πιστοποίηση ούτε βεβαίωση συμμόρφωσης.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Η ανθρώπινη ευθύνη παραμένει υποχρεωτική· η AI δεν λαμβάνει αυτόματες αποφάσεις για πρόσωπα.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Παράρτημα</w:t>
      </w:r>
    </w:p>
    <w:p>
      <w:pPr>
        <w:spacing w:before="160" w:after="60"/>
      </w:pPr>
      <w:r>
        <w:rPr>
          <w:b/>
          <w:sz w:val="25"/>
          <w:szCs w:val="25"/>
        </w:rPr>
        <w:t xml:space="preserve">Κατάλογος ελέγχων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3020"/>
        <w:gridCol w:w="3020"/>
        <w:gridCol w:w="3020"/>
      </w:tblGrid>
      <w:tr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Έλεγχος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Πηγή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Παραπομπή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Έλεγχος για απαγορευμένες πρακτικές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Σύστημα διαχείρισης κινδύνου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9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Διακυβέρνηση δεδομένων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Τεχνική τεκμηρίωση (εγγύς του Παραρτήματος IV)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11 / Annex IV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Καταγραφή αρχείων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Διαφάνεια &amp; επισήμανση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Ανθρώπινη εποπτεία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Ακρίβεια, ευρωστία, κυβερνοασφάλεια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Νομιμότητα της επεξεργασίας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6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Ελαχιστοποίηση δεδομένων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5(1c)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Εκτίμηση αντικτύπου σχετικά με την προστασία δεδομένων (DPIA)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35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Δικαιώματα των υποκειμένων των δεδομένων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12–22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Παρακολούθηση προκατάληψης (bias)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internal_policy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Policy AI-BIAS-01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Δεξιότητες AI των εμπλεκομένων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ai_literacy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Έλεγχος πρόσβασης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security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ISO 27001 A.9 (Referenz)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Αλυσίδα ελέγχου/αποδεικτικών στοιχείων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Evidence Standard (ADR-003)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Μεταδεδομένα δημιουργίας</w:t>
      </w:r>
    </w:p>
    <w:p>
      <w:pPr>
        <w:spacing w:after="20"/>
      </w:pPr>
      <w:r>
        <w:rPr>
          <w:b/>
          <w:sz w:val="18"/>
          <w:szCs w:val="18"/>
        </w:rPr>
        <w:t xml:space="preserve">Δημιουργήθηκε στις: </w:t>
      </w:r>
      <w:r>
        <w:rPr>
          <w:sz w:val="18"/>
          <w:szCs w:val="18"/>
        </w:rPr>
        <w:t xml:space="preserve">2026-09-04T07:42:47.191Z</w:t>
      </w:r>
    </w:p>
    <w:p>
      <w:pPr>
        <w:spacing w:after="20"/>
      </w:pPr>
      <w:r>
        <w:rPr>
          <w:b/>
          <w:sz w:val="18"/>
          <w:szCs w:val="18"/>
        </w:rPr>
        <w:t xml:space="preserve">Έκδοση: </w:t>
      </w:r>
      <w:r>
        <w:rPr>
          <w:sz w:val="18"/>
          <w:szCs w:val="18"/>
        </w:rPr>
        <w:t xml:space="preserve">0.1.0</w:t>
      </w:r>
    </w:p>
    <w:p>
      <w:pPr>
        <w:spacing w:after="20"/>
      </w:pPr>
      <w:r>
        <w:rPr>
          <w:b/>
          <w:sz w:val="18"/>
          <w:szCs w:val="18"/>
        </w:rPr>
        <w:t xml:space="preserve">Κάλυψη γλωσσών: </w:t>
      </w:r>
      <w:r>
        <w:rPr>
          <w:sz w:val="18"/>
          <w:szCs w:val="18"/>
        </w:rPr>
        <w:t xml:space="preserve">100 %</w:t>
      </w:r>
    </w:p>
    <w:p>
      <w:pPr>
        <w:spacing w:after="20"/>
      </w:pPr>
      <w:r>
        <w:rPr>
          <w:b/>
          <w:sz w:val="18"/>
          <w:szCs w:val="18"/>
        </w:rPr>
        <w:t xml:space="preserve">Αριθμός συμβάντων τεκμηρίων: </w:t>
      </w:r>
      <w:r>
        <w:rPr>
          <w:sz w:val="18"/>
          <w:szCs w:val="18"/>
        </w:rPr>
        <w:t xml:space="preserve">1153</w:t>
      </w:r>
    </w:p>
    <w:p>
      <w:pPr>
        <w:spacing w:after="40"/>
      </w:pPr>
    </w:p>
    <w:p>
      <w:sectPr>
        <w:pgSz w:w="11906" w:h="16838"/>
        <w:pgMar w:top="1134" w:right="1134" w:bottom="1134" w:left="1134" w:header="720" w:footer="720" w:gutter="0"/>
      </w:sectPr>
    </w:p>
  </w:body>
</w:document>
</file>