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Governance Report — Integration assistance (MIIOS X)</w:t>
      </w:r>
    </w:p>
    <w:p>
      <w:pPr>
        <w:spacing w:after="80"/>
      </w:pPr>
      <w:r>
        <w:rPr>
          <w:sz w:val="20"/>
          <w:szCs w:val="20"/>
          <w:color w:val="6B7280"/>
        </w:rPr>
        <w:t xml:space="preserve">HumanOSE — governance preparation, assurance support and audit-ready evidence. No legal compliance certification.</w:t>
      </w:r>
    </w:p>
    <w:p>
      <w:pPr>
        <w:spacing w:after="20"/>
      </w:pPr>
      <w:r>
        <w:rPr>
          <w:b/>
          <w:sz w:val="18"/>
          <w:szCs w:val="18"/>
        </w:rPr>
        <w:t xml:space="preserve">Product: </w:t>
      </w:r>
      <w:r>
        <w:rPr>
          <w:sz w:val="18"/>
          <w:szCs w:val="18"/>
        </w:rPr>
        <w:t xml:space="preserve">HumanOSE</w:t>
      </w:r>
    </w:p>
    <w:p>
      <w:pPr>
        <w:spacing w:after="20"/>
      </w:pPr>
      <w:r>
        <w:rPr>
          <w:b/>
          <w:sz w:val="18"/>
          <w:szCs w:val="18"/>
        </w:rPr>
        <w:t xml:space="preserve">Use Case: </w:t>
      </w:r>
      <w:r>
        <w:rPr>
          <w:sz w:val="18"/>
          <w:szCs w:val="18"/>
        </w:rPr>
        <w:t xml:space="preserve">uc_miios_001 (v1)</w:t>
      </w:r>
    </w:p>
    <w:p>
      <w:pPr>
        <w:spacing w:after="20"/>
      </w:pPr>
      <w:r>
        <w:rPr>
          <w:b/>
          <w:sz w:val="18"/>
          <w:szCs w:val="18"/>
        </w:rPr>
        <w:t xml:space="preserve">Source system: </w:t>
      </w:r>
      <w:r>
        <w:rPr>
          <w:sz w:val="18"/>
          <w:szCs w:val="18"/>
        </w:rPr>
        <w:t xml:space="preserve">miios-x</w:t>
      </w:r>
    </w:p>
    <w:p>
      <w:pPr>
        <w:spacing w:after="20"/>
      </w:pPr>
      <w:r>
        <w:rPr>
          <w:b/>
          <w:sz w:val="18"/>
          <w:szCs w:val="18"/>
        </w:rPr>
        <w:t xml:space="preserve">Language: </w:t>
      </w:r>
      <w:r>
        <w:rPr>
          <w:sz w:val="18"/>
          <w:szCs w:val="18"/>
        </w:rPr>
        <w:t xml:space="preserve">EN</w:t>
      </w:r>
    </w:p>
    <w:p>
      <w:pPr>
        <w:spacing w:after="20"/>
      </w:pPr>
      <w:r>
        <w:rPr>
          <w:b/>
          <w:sz w:val="18"/>
          <w:szCs w:val="18"/>
        </w:rPr>
        <w:t xml:space="preserve">Data mode: </w:t>
      </w:r>
      <w:r>
        <w:rPr>
          <w:sz w:val="18"/>
          <w:szCs w:val="18"/>
        </w:rPr>
        <w:t xml:space="preserve">synthetic</w:t>
      </w:r>
    </w:p>
    <w:p>
      <w:pPr>
        <w:spacing w:after="20"/>
      </w:pPr>
      <w:r>
        <w:rPr>
          <w:b/>
          <w:sz w:val="18"/>
          <w:szCs w:val="18"/>
        </w:rPr>
        <w:t xml:space="preserve">Generated at: </w:t>
      </w:r>
      <w:r>
        <w:rPr>
          <w:sz w:val="18"/>
          <w:szCs w:val="18"/>
        </w:rPr>
        <w:t xml:space="preserve">2026-09-04T07:43:56.913Z</w:t>
      </w:r>
    </w:p>
    <w:p>
      <w:pPr>
        <w:spacing w:after="20"/>
      </w:pPr>
      <w:r>
        <w:rPr>
          <w:b/>
          <w:sz w:val="18"/>
          <w:szCs w:val="18"/>
        </w:rPr>
        <w:t xml:space="preserve">Report status: </w:t>
      </w:r>
      <w:r>
        <w:rPr>
          <w:sz w:val="18"/>
          <w:szCs w:val="18"/>
        </w:rPr>
        <w:t xml:space="preserve">Provisionally classified</w:t>
      </w:r>
    </w:p>
    <w:p>
      <w:pPr>
        <w:spacing w:after="20"/>
      </w:pPr>
      <w:r>
        <w:rPr>
          <w:b/>
          <w:sz w:val="18"/>
          <w:szCs w:val="18"/>
        </w:rPr>
        <w:t xml:space="preserve">Integrity hash: </w:t>
      </w:r>
      <w:r>
        <w:rPr>
          <w:sz w:val="18"/>
          <w:szCs w:val="18"/>
        </w:rPr>
        <w:t xml:space="preserve">03e1a4f277ad8c11…</w:t>
      </w:r>
    </w:p>
    <w:p>
      <w:pPr>
        <w:spacing w:after="60"/>
      </w:pPr>
    </w:p>
    <w:p>
      <w:pPr>
        <w:shd w:val="clear" w:color="auto" w:fill="FDF5DB"/>
        <w:spacing w:before="40" w:after="80"/>
      </w:pPr>
      <w:r>
        <w:rPr>
          <w:sz w:val="18"/>
          <w:szCs w:val="18"/>
          <w:color w:val="664D07"/>
        </w:rPr>
        <w:t xml:space="preserve">This report is based exclusively on synthetic data (pilot operation). No real personal data.</w:t>
      </w:r>
    </w:p>
    <w:p>
      <w:pPr>
        <w:shd w:val="clear" w:color="auto" w:fill="FDF5DB"/>
        <w:spacing w:before="40" w:after="80"/>
      </w:pPr>
      <w:r>
        <w:rPr>
          <w:sz w:val="18"/>
          <w:szCs w:val="18"/>
          <w:color w:val="664D07"/>
        </w:rPr>
        <w:t xml:space="preserve">This report does not certify legal compliance.</w:t>
      </w:r>
    </w:p>
    <w:p>
      <w:pPr>
        <w:spacing w:before="160" w:after="60"/>
      </w:pPr>
      <w:r>
        <w:rPr>
          <w:b/>
          <w:sz w:val="30"/>
          <w:szCs w:val="30"/>
        </w:rPr>
        <w:t xml:space="preserve">Executive summary</w:t>
      </w:r>
    </w:p>
    <w:p>
      <w:pPr>
        <w:spacing w:after="60"/>
      </w:pPr>
      <w:r>
        <w:rPr>
          <w:sz w:val="19"/>
          <w:szCs w:val="19"/>
        </w:rPr>
        <w:t xml:space="preserve">Classification and hints on synthetic integration metadata — no live MIIOS, no PII.</w:t>
      </w:r>
    </w:p>
    <w:p>
      <w:pPr>
        <w:spacing w:after="20"/>
      </w:pPr>
      <w:r>
        <w:rPr>
          <w:b/>
          <w:sz w:val="18"/>
          <w:szCs w:val="18"/>
        </w:rPr>
        <w:t xml:space="preserve">Intended purpose: </w:t>
      </w:r>
      <w:r>
        <w:rPr>
          <w:sz w:val="18"/>
          <w:szCs w:val="18"/>
        </w:rPr>
        <w:t xml:space="preserve">Human-reviewed integration hints — no automatic system coupling.</w:t>
      </w:r>
    </w:p>
    <w:p>
      <w:pPr>
        <w:spacing w:after="20"/>
      </w:pPr>
      <w:r>
        <w:rPr>
          <w:b/>
          <w:sz w:val="18"/>
          <w:szCs w:val="18"/>
        </w:rPr>
        <w:t xml:space="preserve">Preliminary risk class: </w:t>
      </w:r>
      <w:r>
        <w:rPr>
          <w:sz w:val="18"/>
          <w:szCs w:val="18"/>
        </w:rPr>
        <w:t xml:space="preserve">Limited risk — review transparency obligations</w:t>
      </w:r>
    </w:p>
    <w:p>
      <w:pPr>
        <w:spacing w:after="20"/>
      </w:pPr>
      <w:r>
        <w:rPr>
          <w:b/>
          <w:sz w:val="18"/>
          <w:szCs w:val="18"/>
        </w:rPr>
        <w:t xml:space="preserve">Human oversight required: </w:t>
      </w:r>
      <w:r>
        <w:rPr>
          <w:sz w:val="18"/>
          <w:szCs w:val="18"/>
        </w:rPr>
        <w:t xml:space="preserve">No</w:t>
      </w:r>
    </w:p>
    <w:p>
      <w:pPr>
        <w:spacing w:after="20"/>
      </w:pPr>
      <w:r>
        <w:rPr>
          <w:b/>
          <w:sz w:val="18"/>
          <w:szCs w:val="18"/>
        </w:rPr>
        <w:t xml:space="preserve">Governance Readiness: </w:t>
      </w:r>
      <w:r>
        <w:rPr>
          <w:sz w:val="18"/>
          <w:szCs w:val="18"/>
        </w:rPr>
        <w:t xml:space="preserve">1/2 Controls with evidence/reviewed</w:t>
      </w:r>
    </w:p>
    <w:p>
      <w:pPr>
        <w:spacing w:after="40"/>
      </w:pPr>
    </w:p>
    <w:p>
      <w:pPr>
        <w:shd w:val="clear" w:color="auto" w:fill="FDF5DB"/>
        <w:spacing w:before="40" w:after="80"/>
      </w:pPr>
      <w:r>
        <w:rPr>
          <w:sz w:val="18"/>
          <w:szCs w:val="18"/>
          <w:color w:val="664D07"/>
        </w:rPr>
        <w:t xml:space="preserve">Governance Readiness denotes the degree of preparation (evidence in place/reviewed) — it does not certify conformity.</w:t>
      </w:r>
    </w:p>
    <w:p>
      <w:pPr>
        <w:spacing w:before="160" w:after="60"/>
      </w:pPr>
      <w:r>
        <w:rPr>
          <w:b/>
          <w:sz w:val="30"/>
          <w:szCs w:val="30"/>
        </w:rPr>
        <w:t xml:space="preserve">Use case profile</w:t>
      </w:r>
    </w:p>
    <w:p>
      <w:pPr>
        <w:spacing w:after="20"/>
      </w:pPr>
      <w:r>
        <w:rPr>
          <w:b/>
          <w:sz w:val="18"/>
          <w:szCs w:val="18"/>
        </w:rPr>
        <w:t xml:space="preserve">Intended purpose: </w:t>
      </w:r>
      <w:r>
        <w:rPr>
          <w:sz w:val="18"/>
          <w:szCs w:val="18"/>
        </w:rPr>
        <w:t xml:space="preserve">Human-reviewed integration hints — no automatic system coupling.</w:t>
      </w:r>
    </w:p>
    <w:p>
      <w:pPr>
        <w:spacing w:after="20"/>
      </w:pPr>
      <w:r>
        <w:rPr>
          <w:b/>
          <w:sz w:val="18"/>
          <w:szCs w:val="18"/>
        </w:rPr>
        <w:t xml:space="preserve">Affected groups of persons: </w:t>
      </w:r>
      <w:r>
        <w:rPr>
          <w:sz w:val="18"/>
          <w:szCs w:val="18"/>
        </w:rPr>
        <w:t xml:space="preserve">—</w:t>
      </w:r>
    </w:p>
    <w:p>
      <w:pPr>
        <w:spacing w:after="20"/>
      </w:pPr>
      <w:r>
        <w:rPr>
          <w:b/>
          <w:sz w:val="18"/>
          <w:szCs w:val="18"/>
        </w:rPr>
        <w:t xml:space="preserve">Data sources: </w:t>
      </w:r>
      <w:r>
        <w:rPr>
          <w:sz w:val="18"/>
          <w:szCs w:val="18"/>
        </w:rPr>
        <w:t xml:space="preserve">integrationsmetadaten_synthetisch</w:t>
      </w:r>
    </w:p>
    <w:p>
      <w:pPr>
        <w:spacing w:after="20"/>
      </w:pPr>
      <w:r>
        <w:rPr>
          <w:b/>
          <w:sz w:val="18"/>
          <w:szCs w:val="18"/>
        </w:rPr>
        <w:t xml:space="preserve">AI function: </w:t>
      </w:r>
      <w:r>
        <w:rPr>
          <w:sz w:val="18"/>
          <w:szCs w:val="18"/>
        </w:rPr>
        <w:t xml:space="preserve">classification, recommendation</w:t>
      </w:r>
    </w:p>
    <w:p>
      <w:pPr>
        <w:spacing w:after="20"/>
      </w:pPr>
      <w:r>
        <w:rPr>
          <w:b/>
          <w:sz w:val="18"/>
          <w:szCs w:val="18"/>
        </w:rPr>
        <w:t xml:space="preserve">Potential impact: </w:t>
      </w:r>
      <w:r>
        <w:rPr>
          <w:sz w:val="18"/>
          <w:szCs w:val="18"/>
        </w:rPr>
        <w:t xml:space="preserve">operativ</w:t>
      </w:r>
    </w:p>
    <w:p>
      <w:pPr>
        <w:spacing w:after="20"/>
      </w:pPr>
      <w:r>
        <w:rPr>
          <w:b/>
          <w:sz w:val="18"/>
          <w:szCs w:val="18"/>
        </w:rPr>
        <w:t xml:space="preserve">Jurisdiction: </w:t>
      </w:r>
      <w:r>
        <w:rPr>
          <w:sz w:val="18"/>
          <w:szCs w:val="18"/>
        </w:rPr>
        <w:t xml:space="preserve">eu-de</w:t>
      </w:r>
    </w:p>
    <w:p>
      <w:pPr>
        <w:spacing w:after="20"/>
      </w:pPr>
      <w:r>
        <w:rPr>
          <w:b/>
          <w:sz w:val="18"/>
          <w:szCs w:val="18"/>
        </w:rPr>
        <w:t xml:space="preserve">Source system: </w:t>
      </w:r>
      <w:r>
        <w:rPr>
          <w:sz w:val="18"/>
          <w:szCs w:val="18"/>
        </w:rPr>
        <w:t xml:space="preserve">miios-x</w:t>
      </w:r>
    </w:p>
    <w:p>
      <w:pPr>
        <w:spacing w:after="20"/>
      </w:pPr>
      <w:r>
        <w:rPr>
          <w:b/>
          <w:sz w:val="18"/>
          <w:szCs w:val="18"/>
        </w:rPr>
        <w:t xml:space="preserve">Lifecycle state: </w:t>
      </w:r>
      <w:r>
        <w:rPr>
          <w:sz w:val="18"/>
          <w:szCs w:val="18"/>
        </w:rPr>
        <w:t xml:space="preserve">Provisionally classified</w:t>
      </w:r>
    </w:p>
    <w:p>
      <w:pPr>
        <w:spacing w:after="40"/>
      </w:pPr>
    </w:p>
    <w:p>
      <w:pPr>
        <w:spacing w:before="160" w:after="60"/>
      </w:pPr>
      <w:r>
        <w:rPr>
          <w:b/>
          <w:sz w:val="30"/>
          <w:szCs w:val="30"/>
        </w:rPr>
        <w:t xml:space="preserve">Risk assessment (preliminary)</w:t>
      </w:r>
    </w:p>
    <w:p>
      <w:pPr>
        <w:spacing w:after="20"/>
      </w:pPr>
      <w:r>
        <w:rPr>
          <w:b/>
          <w:sz w:val="18"/>
          <w:szCs w:val="18"/>
        </w:rPr>
        <w:t xml:space="preserve">Preliminary risk class: </w:t>
      </w:r>
      <w:r>
        <w:rPr>
          <w:sz w:val="18"/>
          <w:szCs w:val="18"/>
        </w:rPr>
        <w:t xml:space="preserve">Limited risk — review transparency obligations</w:t>
      </w:r>
    </w:p>
    <w:p>
      <w:pPr>
        <w:spacing w:after="20"/>
      </w:pPr>
      <w:r>
        <w:rPr>
          <w:b/>
          <w:sz w:val="18"/>
          <w:szCs w:val="18"/>
        </w:rPr>
        <w:t xml:space="preserve">Confidence of the assessment: </w:t>
      </w:r>
      <w:r>
        <w:rPr>
          <w:sz w:val="18"/>
          <w:szCs w:val="18"/>
        </w:rPr>
        <w:t xml:space="preserve">high</w:t>
      </w:r>
    </w:p>
    <w:p>
      <w:pPr>
        <w:spacing w:after="20"/>
      </w:pPr>
      <w:r>
        <w:rPr>
          <w:b/>
          <w:sz w:val="18"/>
          <w:szCs w:val="18"/>
        </w:rPr>
        <w:t xml:space="preserve">Ruleset: </w:t>
      </w:r>
      <w:r>
        <w:rPr>
          <w:sz w:val="18"/>
          <w:szCs w:val="18"/>
        </w:rPr>
        <w:t xml:space="preserve">v0.1.0</w:t>
      </w:r>
    </w:p>
    <w:p>
      <w:pPr>
        <w:spacing w:after="20"/>
      </w:pPr>
      <w:r>
        <w:rPr>
          <w:b/>
          <w:sz w:val="18"/>
          <w:szCs w:val="18"/>
        </w:rPr>
        <w:t xml:space="preserve">Human review required: </w:t>
      </w:r>
      <w:r>
        <w:rPr>
          <w:sz w:val="18"/>
          <w:szCs w:val="18"/>
        </w:rPr>
        <w:t xml:space="preserve">No</w:t>
      </w:r>
    </w:p>
    <w:p>
      <w:pPr>
        <w:spacing w:after="40"/>
      </w:pPr>
    </w:p>
    <w:p>
      <w:pPr>
        <w:shd w:val="clear" w:color="auto" w:fill="FDF5DB"/>
        <w:spacing w:before="40" w:after="80"/>
      </w:pPr>
      <w:r>
        <w:rPr>
          <w:sz w:val="18"/>
          <w:szCs w:val="18"/>
          <w:color w:val="664D07"/>
        </w:rPr>
        <w:t xml:space="preserve">The risk classification is preliminary and does not replace a legal assessment.</w:t>
      </w:r>
    </w:p>
    <w:p>
      <w:pPr>
        <w:spacing w:before="160" w:after="60"/>
      </w:pPr>
      <w:r>
        <w:rPr>
          <w:b/>
          <w:sz w:val="25"/>
          <w:szCs w:val="25"/>
        </w:rPr>
        <w:t xml:space="preserve">Reasoning (rule reference)</w:t>
      </w:r>
    </w:p>
    <w:p>
      <w:pPr>
        <w:ind w:left="240"/>
        <w:spacing w:after="20"/>
      </w:pPr>
      <w:r>
        <w:rPr>
          <w:sz w:val="19"/>
          <w:szCs w:val="19"/>
        </w:rPr>
        <w:t xml:space="preserve">•  </w:t>
      </w:r>
      <w:r>
        <w:rPr>
          <w:sz w:val="19"/>
          <w:szCs w:val="19"/>
        </w:rPr>
        <w:t xml:space="preserve">R-LIM-TRANSPARENCY-01 — Generative or recommending AI function — transparency and labeling obligations must be reviewed.</w:t>
      </w:r>
    </w:p>
    <w:p>
      <w:pPr>
        <w:spacing w:after="40"/>
      </w:pPr>
    </w:p>
    <w:p>
      <w:pPr>
        <w:spacing w:before="160" w:after="60"/>
      </w:pPr>
      <w:r>
        <w:rPr>
          <w:b/>
          <w:sz w:val="25"/>
          <w:szCs w:val="25"/>
        </w:rPr>
        <w:t xml:space="preserve">Recommended risk mitigations</w:t>
      </w:r>
    </w:p>
    <w:p>
      <w:pPr>
        <w:ind w:left="240"/>
        <w:spacing w:after="20"/>
      </w:pPr>
      <w:r>
        <w:rPr>
          <w:sz w:val="19"/>
          <w:szCs w:val="19"/>
        </w:rPr>
        <w:t xml:space="preserve">•  </w:t>
      </w:r>
      <w:r>
        <w:rPr>
          <w:sz w:val="19"/>
          <w:szCs w:val="19"/>
        </w:rPr>
        <w:t xml:space="preserve">Label AI-generated content as such; escalation to a human is possible at any time.</w:t>
      </w:r>
    </w:p>
    <w:p>
      <w:pPr>
        <w:spacing w:after="40"/>
      </w:pPr>
    </w:p>
    <w:p>
      <w:pPr>
        <w:spacing w:before="160" w:after="60"/>
      </w:pPr>
      <w:r>
        <w:rPr>
          <w:b/>
          <w:sz w:val="25"/>
          <w:szCs w:val="25"/>
        </w:rPr>
        <w:t xml:space="preserve">Uncertainty of the assessment</w:t>
      </w:r>
    </w:p>
    <w:p>
      <w:pPr>
        <w:spacing w:after="60"/>
      </w:pPr>
      <w:r>
        <w:rPr>
          <w:sz w:val="19"/>
          <w:szCs w:val="19"/>
        </w:rPr>
        <w:t xml:space="preserve">Rule set v0.1 works with internal review heuristics on the EU AI Act, GDPR, Swiss DSG and the UK context. The assessment depends on the completeness of the registry entries and does not replace a legal review.</w:t>
      </w:r>
    </w:p>
    <w:p>
      <w:pPr>
        <w:spacing w:before="160" w:after="60"/>
      </w:pPr>
      <w:r>
        <w:rPr>
          <w:b/>
          <w:sz w:val="30"/>
          <w:szCs w:val="30"/>
        </w:rPr>
        <w:t xml:space="preserve">Policy &amp; control overview</w:t>
      </w:r>
    </w:p>
    <w:p>
      <w:pPr>
        <w:shd w:val="clear" w:color="auto" w:fill="FDF5DB"/>
        <w:spacing w:before="40" w:after="80"/>
      </w:pPr>
      <w:r>
        <w:rPr>
          <w:sz w:val="18"/>
          <w:szCs w:val="18"/>
          <w:color w:val="664D07"/>
        </w:rPr>
        <w:t xml:space="preserve">The control status documents the review of the evidence — it does not certify conformity.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2265"/>
        <w:gridCol w:w="2265"/>
        <w:gridCol w:w="2265"/>
        <w:gridCol w:w="2265"/>
      </w:tblGrid>
      <w:tr>
        <w:tc>
          <w:tcPr>
            <w:tcW w:w="2265" w:type="dxa"/>
            <w:shd w:val="clear" w:color="auto" w:fill="EEF1F7"/>
          </w:tcPr>
          <w:p>
            <w:pPr>
              <w:spacing w:before="20" w:after="20"/>
            </w:pPr>
            <w:r>
              <w:rPr>
                <w:b/>
                <w:sz w:val="17"/>
                <w:szCs w:val="17"/>
              </w:rPr>
              <w:t xml:space="preserve">Control</w:t>
            </w:r>
          </w:p>
        </w:tc>
        <w:tc>
          <w:tcPr>
            <w:tcW w:w="2265" w:type="dxa"/>
            <w:shd w:val="clear" w:color="auto" w:fill="EEF1F7"/>
          </w:tcPr>
          <w:p>
            <w:pPr>
              <w:spacing w:before="20" w:after="20"/>
            </w:pPr>
            <w:r>
              <w:rPr>
                <w:b/>
                <w:sz w:val="17"/>
                <w:szCs w:val="17"/>
              </w:rPr>
              <w:t xml:space="preserve">Reference</w:t>
            </w:r>
          </w:p>
        </w:tc>
        <w:tc>
          <w:tcPr>
            <w:tcW w:w="2265" w:type="dxa"/>
            <w:shd w:val="clear" w:color="auto" w:fill="EEF1F7"/>
          </w:tcPr>
          <w:p>
            <w:pPr>
              <w:spacing w:before="20" w:after="20"/>
            </w:pPr>
            <w:r>
              <w:rPr>
                <w:b/>
                <w:sz w:val="17"/>
                <w:szCs w:val="17"/>
              </w:rPr>
              <w:t xml:space="preserve">Status</w:t>
            </w:r>
          </w:p>
        </w:tc>
        <w:tc>
          <w:tcPr>
            <w:tcW w:w="2265" w:type="dxa"/>
            <w:shd w:val="clear" w:color="auto" w:fill="EEF1F7"/>
          </w:tcPr>
          <w:p>
            <w:pPr>
              <w:spacing w:before="20" w:after="20"/>
            </w:pPr>
            <w:r>
              <w:rPr>
                <w:b/>
                <w:sz w:val="17"/>
                <w:szCs w:val="17"/>
              </w:rPr>
              <w:t xml:space="preserve">Evidence</w:t>
            </w:r>
          </w:p>
        </w:tc>
      </w:tr>
      <w:tr>
        <w:tc>
          <w:tcPr>
            <w:tcW w:w="2265" w:type="dxa"/>
          </w:tcPr>
          <w:p>
            <w:pPr>
              <w:spacing w:before="20" w:after="20"/>
            </w:pPr>
            <w:r>
              <w:rPr>
                <w:sz w:val="17"/>
                <w:szCs w:val="17"/>
              </w:rPr>
              <w:t xml:space="preserve">Transparency &amp; labeling</w:t>
            </w:r>
          </w:p>
        </w:tc>
        <w:tc>
          <w:tcPr>
            <w:tcW w:w="2265" w:type="dxa"/>
          </w:tcPr>
          <w:p>
            <w:pPr>
              <w:spacing w:before="20" w:after="20"/>
            </w:pPr>
            <w:r>
              <w:rPr>
                <w:sz w:val="17"/>
                <w:szCs w:val="17"/>
              </w:rPr>
              <w:t xml:space="preserve">EU AI Act Art. 13 / 50</w:t>
            </w:r>
          </w:p>
        </w:tc>
        <w:tc>
          <w:tcPr>
            <w:tcW w:w="2265" w:type="dxa"/>
          </w:tcPr>
          <w:p>
            <w:pPr>
              <w:spacing w:before="20" w:after="20"/>
            </w:pPr>
            <w:r>
              <w:rPr>
                <w:sz w:val="17"/>
                <w:szCs w:val="17"/>
              </w:rPr>
              <w:t xml:space="preserve">Evidence attached</w:t>
            </w:r>
          </w:p>
        </w:tc>
        <w:tc>
          <w:tcPr>
            <w:tcW w:w="2265" w:type="dxa"/>
          </w:tcPr>
          <w:p>
            <w:pPr>
              <w:spacing w:before="20" w:after="20"/>
            </w:pPr>
            <w:r>
              <w:rPr>
                <w:sz w:val="17"/>
                <w:szCs w:val="17"/>
              </w:rPr>
              <w:t xml:space="preserve">1</w:t>
            </w:r>
          </w:p>
        </w:tc>
      </w:tr>
      <w:tr>
        <w:tc>
          <w:tcPr>
            <w:tcW w:w="2265" w:type="dxa"/>
          </w:tcPr>
          <w:p>
            <w:pPr>
              <w:spacing w:before="20" w:after="20"/>
            </w:pPr>
            <w:r>
              <w:rPr>
                <w:sz w:val="17"/>
                <w:szCs w:val="17"/>
              </w:rPr>
              <w:t xml:space="preserve">AI literacy of those involved</w:t>
            </w:r>
          </w:p>
        </w:tc>
        <w:tc>
          <w:tcPr>
            <w:tcW w:w="2265" w:type="dxa"/>
          </w:tcPr>
          <w:p>
            <w:pPr>
              <w:spacing w:before="20" w:after="20"/>
            </w:pPr>
            <w:r>
              <w:rPr>
                <w:sz w:val="17"/>
                <w:szCs w:val="17"/>
              </w:rPr>
              <w:t xml:space="preserve">EU AI Act Art. 4</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bl>
    <w:p>
      <w:pPr>
        <w:spacing w:after="60"/>
      </w:pPr>
    </w:p>
    <w:p>
      <w:pPr>
        <w:spacing w:before="160" w:after="60"/>
      </w:pPr>
      <w:r>
        <w:rPr>
          <w:b/>
          <w:sz w:val="25"/>
          <w:szCs w:val="25"/>
        </w:rPr>
        <w:t xml:space="preserve">Open gaps</w:t>
      </w:r>
    </w:p>
    <w:p>
      <w:pPr>
        <w:ind w:left="240"/>
        <w:spacing w:after="20"/>
      </w:pPr>
      <w:r>
        <w:rPr>
          <w:sz w:val="19"/>
          <w:szCs w:val="19"/>
        </w:rPr>
        <w:t xml:space="preserve">•  </w:t>
      </w:r>
      <w:r>
        <w:rPr>
          <w:sz w:val="19"/>
          <w:szCs w:val="19"/>
        </w:rPr>
        <w:t xml:space="preserve">AI literacy of those involved</w:t>
      </w:r>
    </w:p>
    <w:p>
      <w:pPr>
        <w:spacing w:after="40"/>
      </w:pPr>
    </w:p>
    <w:p>
      <w:pPr>
        <w:spacing w:before="160" w:after="60"/>
      </w:pPr>
      <w:r>
        <w:rPr>
          <w:b/>
          <w:sz w:val="30"/>
          <w:szCs w:val="30"/>
        </w:rPr>
        <w:t xml:space="preserve">Human oversight</w:t>
      </w:r>
    </w:p>
    <w:p>
      <w:pPr>
        <w:spacing w:after="20"/>
      </w:pPr>
      <w:r>
        <w:rPr>
          <w:b/>
          <w:sz w:val="18"/>
          <w:szCs w:val="18"/>
        </w:rPr>
        <w:t xml:space="preserve">Responsible human: </w:t>
      </w:r>
      <w:r>
        <w:rPr>
          <w:sz w:val="18"/>
          <w:szCs w:val="18"/>
        </w:rPr>
        <w:t xml:space="preserve">Oversight assignment pending — a final responsible human must be named before approval.</w:t>
      </w:r>
    </w:p>
    <w:p>
      <w:pPr>
        <w:spacing w:after="20"/>
      </w:pPr>
      <w:r>
        <w:rPr>
          <w:b/>
          <w:sz w:val="18"/>
          <w:szCs w:val="18"/>
        </w:rPr>
        <w:t xml:space="preserve">Reviewer: </w:t>
      </w:r>
      <w:r>
        <w:rPr>
          <w:sz w:val="18"/>
          <w:szCs w:val="18"/>
        </w:rPr>
        <w:t xml:space="preserve">—</w:t>
      </w:r>
    </w:p>
    <w:p>
      <w:pPr>
        <w:spacing w:after="40"/>
      </w:pPr>
    </w:p>
    <w:p>
      <w:pPr>
        <w:shd w:val="clear" w:color="auto" w:fill="FDF5DB"/>
        <w:spacing w:before="40" w:after="80"/>
      </w:pPr>
      <w:r>
        <w:rPr>
          <w:sz w:val="18"/>
          <w:szCs w:val="18"/>
          <w:color w:val="664D07"/>
        </w:rPr>
        <w:t xml:space="preserve">Human responsibility remains mandatory; AI does not make automatic decisions about persons.</w:t>
      </w:r>
    </w:p>
    <w:p>
      <w:pPr>
        <w:spacing w:before="160" w:after="60"/>
      </w:pPr>
      <w:r>
        <w:rPr>
          <w:b/>
          <w:sz w:val="25"/>
          <w:szCs w:val="25"/>
        </w:rPr>
        <w:t xml:space="preserve">Review history</w:t>
      </w:r>
    </w:p>
    <w:p>
      <w:pPr>
        <w:spacing w:after="60"/>
      </w:pPr>
      <w:r>
        <w:rPr>
          <w:sz w:val="19"/>
          <w:szCs w:val="19"/>
        </w:rPr>
        <w:t xml:space="preserve">No review decisions recorded yet.</w:t>
      </w:r>
    </w:p>
    <w:p>
      <w:pPr>
        <w:spacing w:before="160" w:after="60"/>
      </w:pPr>
      <w:r>
        <w:rPr>
          <w:b/>
          <w:sz w:val="30"/>
          <w:szCs w:val="30"/>
        </w:rPr>
        <w:t xml:space="preserve">Evidence summary</w:t>
      </w:r>
    </w:p>
    <w:p>
      <w:pPr>
        <w:spacing w:after="20"/>
      </w:pPr>
      <w:r>
        <w:rPr>
          <w:b/>
          <w:sz w:val="18"/>
          <w:szCs w:val="18"/>
        </w:rPr>
        <w:t xml:space="preserve">Evidence chain status: </w:t>
      </w:r>
      <w:r>
        <w:rPr>
          <w:sz w:val="18"/>
          <w:szCs w:val="18"/>
        </w:rPr>
        <w:t xml:space="preserve">invalid (suspected tampering)</w:t>
      </w:r>
    </w:p>
    <w:p>
      <w:pPr>
        <w:spacing w:after="20"/>
      </w:pPr>
      <w:r>
        <w:rPr>
          <w:b/>
          <w:sz w:val="18"/>
          <w:szCs w:val="18"/>
        </w:rPr>
        <w:t xml:space="preserve">Number of evidence events: </w:t>
      </w:r>
      <w:r>
        <w:rPr>
          <w:sz w:val="18"/>
          <w:szCs w:val="18"/>
        </w:rPr>
        <w:t xml:space="preserve">47</w:t>
      </w:r>
    </w:p>
    <w:p>
      <w:pPr>
        <w:spacing w:after="20"/>
      </w:pPr>
      <w:r>
        <w:rPr>
          <w:b/>
          <w:sz w:val="18"/>
          <w:szCs w:val="18"/>
        </w:rPr>
        <w:t xml:space="preserve">Verification passed: </w:t>
      </w:r>
      <w:r>
        <w:rPr>
          <w:sz w:val="18"/>
          <w:szCs w:val="18"/>
        </w:rPr>
        <w:t xml:space="preserve">No</w:t>
      </w:r>
    </w:p>
    <w:p>
      <w:pPr>
        <w:spacing w:after="40"/>
      </w:pPr>
    </w:p>
    <w:p>
      <w:pPr>
        <w:shd w:val="clear" w:color="auto" w:fill="FDF5DB"/>
        <w:spacing w:before="40" w:after="80"/>
      </w:pPr>
      <w:r>
        <w:rPr>
          <w:sz w:val="18"/>
          <w:szCs w:val="18"/>
          <w:color w:val="664D07"/>
        </w:rPr>
        <w:t xml:space="preserve">Simulated anchoring (PageCipher integration pending) — marked as a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Timestamp</w:t>
            </w:r>
          </w:p>
        </w:tc>
        <w:tc>
          <w:tcPr>
            <w:tcW w:w="1812" w:type="dxa"/>
            <w:shd w:val="clear" w:color="auto" w:fill="EEF1F7"/>
          </w:tcPr>
          <w:p>
            <w:pPr>
              <w:spacing w:before="20" w:after="20"/>
            </w:pPr>
            <w:r>
              <w:rPr>
                <w:b/>
                <w:sz w:val="17"/>
                <w:szCs w:val="17"/>
              </w:rPr>
              <w:t xml:space="preserve">Actor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844</w:t>
            </w:r>
          </w:p>
        </w:tc>
        <w:tc>
          <w:tcPr>
            <w:tcW w:w="1812" w:type="dxa"/>
          </w:tcPr>
          <w:p>
            <w:pPr>
              <w:spacing w:before="20" w:after="20"/>
            </w:pPr>
            <w:r>
              <w:rPr>
                <w:sz w:val="17"/>
                <w:szCs w:val="17"/>
              </w:rPr>
              <w:t xml:space="preserve">2026-09-04T06:47:30.947Z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142ac5eb69c0…</w:t>
            </w:r>
          </w:p>
        </w:tc>
      </w:tr>
      <w:tr>
        <w:tc>
          <w:tcPr>
            <w:tcW w:w="1812" w:type="dxa"/>
          </w:tcPr>
          <w:p>
            <w:pPr>
              <w:spacing w:before="20" w:after="20"/>
            </w:pPr>
            <w:r>
              <w:rPr>
                <w:sz w:val="17"/>
                <w:szCs w:val="17"/>
              </w:rPr>
              <w:t xml:space="preserve">1098</w:t>
            </w:r>
          </w:p>
        </w:tc>
        <w:tc>
          <w:tcPr>
            <w:tcW w:w="1812" w:type="dxa"/>
          </w:tcPr>
          <w:p>
            <w:pPr>
              <w:spacing w:before="20" w:after="20"/>
            </w:pPr>
            <w:r>
              <w:rPr>
                <w:sz w:val="17"/>
                <w:szCs w:val="17"/>
              </w:rPr>
              <w:t xml:space="preserve">2026-09-04T07:40:21.648Z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6286099846f7…</w:t>
            </w:r>
          </w:p>
        </w:tc>
      </w:tr>
      <w:tr>
        <w:tc>
          <w:tcPr>
            <w:tcW w:w="1812" w:type="dxa"/>
          </w:tcPr>
          <w:p>
            <w:pPr>
              <w:spacing w:before="20" w:after="20"/>
            </w:pPr>
            <w:r>
              <w:rPr>
                <w:sz w:val="17"/>
                <w:szCs w:val="17"/>
              </w:rPr>
              <w:t xml:space="preserve">1124</w:t>
            </w:r>
          </w:p>
        </w:tc>
        <w:tc>
          <w:tcPr>
            <w:tcW w:w="1812" w:type="dxa"/>
          </w:tcPr>
          <w:p>
            <w:pPr>
              <w:spacing w:before="20" w:after="20"/>
            </w:pPr>
            <w:r>
              <w:rPr>
                <w:sz w:val="17"/>
                <w:szCs w:val="17"/>
              </w:rPr>
              <w:t xml:space="preserve">2026-09-04T07:41:29.245Z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39566fceadd7…</w:t>
            </w:r>
          </w:p>
        </w:tc>
      </w:tr>
      <w:tr>
        <w:tc>
          <w:tcPr>
            <w:tcW w:w="1812" w:type="dxa"/>
          </w:tcPr>
          <w:p>
            <w:pPr>
              <w:spacing w:before="20" w:after="20"/>
            </w:pPr>
            <w:r>
              <w:rPr>
                <w:sz w:val="17"/>
                <w:szCs w:val="17"/>
              </w:rPr>
              <w:t xml:space="preserve">1136</w:t>
            </w:r>
          </w:p>
        </w:tc>
        <w:tc>
          <w:tcPr>
            <w:tcW w:w="1812" w:type="dxa"/>
          </w:tcPr>
          <w:p>
            <w:pPr>
              <w:spacing w:before="20" w:after="20"/>
            </w:pPr>
            <w:r>
              <w:rPr>
                <w:sz w:val="17"/>
                <w:szCs w:val="17"/>
              </w:rPr>
              <w:t xml:space="preserve">2026-09-04T07:41:32.286Z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63903e91c32d…</w:t>
            </w:r>
          </w:p>
        </w:tc>
      </w:tr>
      <w:tr>
        <w:tc>
          <w:tcPr>
            <w:tcW w:w="1812" w:type="dxa"/>
          </w:tcPr>
          <w:p>
            <w:pPr>
              <w:spacing w:before="20" w:after="20"/>
            </w:pPr>
            <w:r>
              <w:rPr>
                <w:sz w:val="17"/>
                <w:szCs w:val="17"/>
              </w:rPr>
              <w:t xml:space="preserve">1146</w:t>
            </w:r>
          </w:p>
        </w:tc>
        <w:tc>
          <w:tcPr>
            <w:tcW w:w="1812" w:type="dxa"/>
          </w:tcPr>
          <w:p>
            <w:pPr>
              <w:spacing w:before="20" w:after="20"/>
            </w:pPr>
            <w:r>
              <w:rPr>
                <w:sz w:val="17"/>
                <w:szCs w:val="17"/>
              </w:rPr>
              <w:t xml:space="preserve">2026-09-04T07:42:05.041Z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afb7195ad6e4…</w:t>
            </w:r>
          </w:p>
        </w:tc>
      </w:tr>
      <w:tr>
        <w:tc>
          <w:tcPr>
            <w:tcW w:w="1812" w:type="dxa"/>
          </w:tcPr>
          <w:p>
            <w:pPr>
              <w:spacing w:before="20" w:after="20"/>
            </w:pPr>
            <w:r>
              <w:rPr>
                <w:sz w:val="17"/>
                <w:szCs w:val="17"/>
              </w:rPr>
              <w:t xml:space="preserve">1148</w:t>
            </w:r>
          </w:p>
        </w:tc>
        <w:tc>
          <w:tcPr>
            <w:tcW w:w="1812" w:type="dxa"/>
          </w:tcPr>
          <w:p>
            <w:pPr>
              <w:spacing w:before="20" w:after="20"/>
            </w:pPr>
            <w:r>
              <w:rPr>
                <w:sz w:val="17"/>
                <w:szCs w:val="17"/>
              </w:rPr>
              <w:t xml:space="preserve">2026-09-04T07:42:41.663Z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5cf920cda3b8…</w:t>
            </w:r>
          </w:p>
        </w:tc>
      </w:tr>
      <w:tr>
        <w:tc>
          <w:tcPr>
            <w:tcW w:w="1812" w:type="dxa"/>
          </w:tcPr>
          <w:p>
            <w:pPr>
              <w:spacing w:before="20" w:after="20"/>
            </w:pPr>
            <w:r>
              <w:rPr>
                <w:sz w:val="17"/>
                <w:szCs w:val="17"/>
              </w:rPr>
              <w:t xml:space="preserve">1152</w:t>
            </w:r>
          </w:p>
        </w:tc>
        <w:tc>
          <w:tcPr>
            <w:tcW w:w="1812" w:type="dxa"/>
          </w:tcPr>
          <w:p>
            <w:pPr>
              <w:spacing w:before="20" w:after="20"/>
            </w:pPr>
            <w:r>
              <w:rPr>
                <w:sz w:val="17"/>
                <w:szCs w:val="17"/>
              </w:rPr>
              <w:t xml:space="preserve">2026-09-04T07:42:43.356Z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1bf8914ddd21…</w:t>
            </w:r>
          </w:p>
        </w:tc>
      </w:tr>
      <w:tr>
        <w:tc>
          <w:tcPr>
            <w:tcW w:w="1812" w:type="dxa"/>
          </w:tcPr>
          <w:p>
            <w:pPr>
              <w:spacing w:before="20" w:after="20"/>
            </w:pPr>
            <w:r>
              <w:rPr>
                <w:sz w:val="17"/>
                <w:szCs w:val="17"/>
              </w:rPr>
              <w:t xml:space="preserve">1154</w:t>
            </w:r>
          </w:p>
        </w:tc>
        <w:tc>
          <w:tcPr>
            <w:tcW w:w="1812" w:type="dxa"/>
          </w:tcPr>
          <w:p>
            <w:pPr>
              <w:spacing w:before="20" w:after="20"/>
            </w:pPr>
            <w:r>
              <w:rPr>
                <w:sz w:val="17"/>
                <w:szCs w:val="17"/>
              </w:rPr>
              <w:t xml:space="preserve">2026-09-04T07:42:47.207Z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34eb2a0233c7…</w:t>
            </w:r>
          </w:p>
        </w:tc>
      </w:tr>
      <w:tr>
        <w:tc>
          <w:tcPr>
            <w:tcW w:w="1812" w:type="dxa"/>
          </w:tcPr>
          <w:p>
            <w:pPr>
              <w:spacing w:before="20" w:after="20"/>
            </w:pPr>
            <w:r>
              <w:rPr>
                <w:sz w:val="17"/>
                <w:szCs w:val="17"/>
              </w:rPr>
              <w:t xml:space="preserve">1156</w:t>
            </w:r>
          </w:p>
        </w:tc>
        <w:tc>
          <w:tcPr>
            <w:tcW w:w="1812" w:type="dxa"/>
          </w:tcPr>
          <w:p>
            <w:pPr>
              <w:spacing w:before="20" w:after="20"/>
            </w:pPr>
            <w:r>
              <w:rPr>
                <w:sz w:val="17"/>
                <w:szCs w:val="17"/>
              </w:rPr>
              <w:t xml:space="preserve">2026-09-04T07:42:47.711Z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1af17b456822…</w:t>
            </w:r>
          </w:p>
        </w:tc>
      </w:tr>
      <w:tr>
        <w:tc>
          <w:tcPr>
            <w:tcW w:w="1812" w:type="dxa"/>
          </w:tcPr>
          <w:p>
            <w:pPr>
              <w:spacing w:before="20" w:after="20"/>
            </w:pPr>
            <w:r>
              <w:rPr>
                <w:sz w:val="17"/>
                <w:szCs w:val="17"/>
              </w:rPr>
              <w:t xml:space="preserve">1158</w:t>
            </w:r>
          </w:p>
        </w:tc>
        <w:tc>
          <w:tcPr>
            <w:tcW w:w="1812" w:type="dxa"/>
          </w:tcPr>
          <w:p>
            <w:pPr>
              <w:spacing w:before="20" w:after="20"/>
            </w:pPr>
            <w:r>
              <w:rPr>
                <w:sz w:val="17"/>
                <w:szCs w:val="17"/>
              </w:rPr>
              <w:t xml:space="preserve">2026-09-04T07:43:07.246Z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66c497e387ff…</w:t>
            </w:r>
          </w:p>
        </w:tc>
      </w:tr>
      <w:tr>
        <w:tc>
          <w:tcPr>
            <w:tcW w:w="1812" w:type="dxa"/>
          </w:tcPr>
          <w:p>
            <w:pPr>
              <w:spacing w:before="20" w:after="20"/>
            </w:pPr>
            <w:r>
              <w:rPr>
                <w:sz w:val="17"/>
                <w:szCs w:val="17"/>
              </w:rPr>
              <w:t xml:space="preserve">1160</w:t>
            </w:r>
          </w:p>
        </w:tc>
        <w:tc>
          <w:tcPr>
            <w:tcW w:w="1812" w:type="dxa"/>
          </w:tcPr>
          <w:p>
            <w:pPr>
              <w:spacing w:before="20" w:after="20"/>
            </w:pPr>
            <w:r>
              <w:rPr>
                <w:sz w:val="17"/>
                <w:szCs w:val="17"/>
              </w:rPr>
              <w:t xml:space="preserve">2026-09-04T07:43:08.000Z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3a71f9c652ab…</w:t>
            </w:r>
          </w:p>
        </w:tc>
      </w:tr>
      <w:tr>
        <w:tc>
          <w:tcPr>
            <w:tcW w:w="1812" w:type="dxa"/>
          </w:tcPr>
          <w:p>
            <w:pPr>
              <w:spacing w:before="20" w:after="20"/>
            </w:pPr>
            <w:r>
              <w:rPr>
                <w:sz w:val="17"/>
                <w:szCs w:val="17"/>
              </w:rPr>
              <w:t xml:space="preserve">1162</w:t>
            </w:r>
          </w:p>
        </w:tc>
        <w:tc>
          <w:tcPr>
            <w:tcW w:w="1812" w:type="dxa"/>
          </w:tcPr>
          <w:p>
            <w:pPr>
              <w:spacing w:before="20" w:after="20"/>
            </w:pPr>
            <w:r>
              <w:rPr>
                <w:sz w:val="17"/>
                <w:szCs w:val="17"/>
              </w:rPr>
              <w:t xml:space="preserve">2026-09-04T07:43:38.272Z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127e25183611…</w:t>
            </w:r>
          </w:p>
        </w:tc>
      </w:tr>
      <w:tr>
        <w:tc>
          <w:tcPr>
            <w:tcW w:w="1812" w:type="dxa"/>
          </w:tcPr>
          <w:p>
            <w:pPr>
              <w:spacing w:before="20" w:after="20"/>
            </w:pPr>
            <w:r>
              <w:rPr>
                <w:sz w:val="17"/>
                <w:szCs w:val="17"/>
              </w:rPr>
              <w:t xml:space="preserve">1164</w:t>
            </w:r>
          </w:p>
        </w:tc>
        <w:tc>
          <w:tcPr>
            <w:tcW w:w="1812" w:type="dxa"/>
          </w:tcPr>
          <w:p>
            <w:pPr>
              <w:spacing w:before="20" w:after="20"/>
            </w:pPr>
            <w:r>
              <w:rPr>
                <w:sz w:val="17"/>
                <w:szCs w:val="17"/>
              </w:rPr>
              <w:t xml:space="preserve">2026-09-04T07:43:39.278Z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29486962b1e5…</w:t>
            </w:r>
          </w:p>
        </w:tc>
      </w:tr>
      <w:tr>
        <w:tc>
          <w:tcPr>
            <w:tcW w:w="1812" w:type="dxa"/>
          </w:tcPr>
          <w:p>
            <w:pPr>
              <w:spacing w:before="20" w:after="20"/>
            </w:pPr>
            <w:r>
              <w:rPr>
                <w:sz w:val="17"/>
                <w:szCs w:val="17"/>
              </w:rPr>
              <w:t xml:space="preserve">1168</w:t>
            </w:r>
          </w:p>
        </w:tc>
        <w:tc>
          <w:tcPr>
            <w:tcW w:w="1812" w:type="dxa"/>
          </w:tcPr>
          <w:p>
            <w:pPr>
              <w:spacing w:before="20" w:after="20"/>
            </w:pPr>
            <w:r>
              <w:rPr>
                <w:sz w:val="17"/>
                <w:szCs w:val="17"/>
              </w:rPr>
              <w:t xml:space="preserve">2026-09-04T07:43:56.424Z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c31372d356e4…</w:t>
            </w:r>
          </w:p>
        </w:tc>
      </w:tr>
    </w:tbl>
    <w:p>
      <w:pPr>
        <w:spacing w:after="60"/>
      </w:pPr>
    </w:p>
    <w:p>
      <w:pPr>
        <w:spacing w:before="160" w:after="60"/>
      </w:pPr>
      <w:r>
        <w:rPr>
          <w:b/>
          <w:sz w:val="25"/>
          <w:szCs w:val="25"/>
        </w:rPr>
        <w:t xml:space="preserve">PageCipher anchor status</w:t>
      </w:r>
    </w:p>
    <w:p>
      <w:pPr>
        <w:spacing w:after="20"/>
      </w:pPr>
      <w:r>
        <w:rPr>
          <w:b/>
          <w:sz w:val="18"/>
          <w:szCs w:val="18"/>
        </w:rPr>
        <w:t xml:space="preserve">PageCipher integration status: </w:t>
      </w:r>
      <w:r>
        <w:rPr>
          <w:sz w:val="18"/>
          <w:szCs w:val="18"/>
        </w:rPr>
        <w:t xml:space="preserve">Active (HTTP integration with PageCipher)</w:t>
      </w:r>
    </w:p>
    <w:p>
      <w:pPr>
        <w:spacing w:after="20"/>
      </w:pPr>
      <w:r>
        <w:rPr>
          <w:b/>
          <w:sz w:val="18"/>
          <w:szCs w:val="18"/>
        </w:rPr>
        <w:t xml:space="preserve">PageCipher anchor status: </w:t>
      </w:r>
      <w:r>
        <w:rPr>
          <w:sz w:val="18"/>
          <w:szCs w:val="18"/>
        </w:rPr>
        <w:t xml:space="preserve">41/47 Anchored</w:t>
      </w:r>
    </w:p>
    <w:p>
      <w:pPr>
        <w:spacing w:after="20"/>
      </w:pPr>
      <w:r>
        <w:rPr>
          <w:b/>
          <w:sz w:val="18"/>
          <w:szCs w:val="18"/>
        </w:rPr>
        <w:t xml:space="preserve">PageCipher anchor reference: </w:t>
      </w:r>
      <w:r>
        <w:rPr>
          <w:sz w:val="18"/>
          <w:szCs w:val="18"/>
        </w:rPr>
        <w:t xml:space="preserve">pagecipher:8d152a155d83d8fa52653917d71511a1</w:t>
      </w:r>
    </w:p>
    <w:p>
      <w:pPr>
        <w:spacing w:after="20"/>
      </w:pPr>
      <w:r>
        <w:rPr>
          <w:b/>
          <w:sz w:val="18"/>
          <w:szCs w:val="18"/>
        </w:rPr>
        <w:t xml:space="preserve">Last anchoring attempt: </w:t>
      </w:r>
      <w:r>
        <w:rPr>
          <w:sz w:val="18"/>
          <w:szCs w:val="18"/>
        </w:rPr>
        <w:t xml:space="preserve">2026-09-04T07:43:56.429Z</w:t>
      </w:r>
    </w:p>
    <w:p>
      <w:pPr>
        <w:spacing w:after="40"/>
      </w:pPr>
    </w:p>
    <w:p>
      <w:pPr>
        <w:shd w:val="clear" w:color="auto" w:fill="FDF5DB"/>
        <w:spacing w:before="40" w:after="80"/>
      </w:pPr>
      <w:r>
        <w:rPr>
          <w:sz w:val="18"/>
          <w:szCs w:val="18"/>
          <w:color w:val="664D07"/>
        </w:rPr>
        <w:t xml:space="preserve">The PageCipher anchor proves the integrity and provenance of the evidence — it does not certify legal compliance.</w:t>
      </w:r>
    </w:p>
    <w:p>
      <w:pPr>
        <w:spacing w:before="160" w:after="60"/>
      </w:pPr>
      <w:r>
        <w:rPr>
          <w:b/>
          <w:sz w:val="30"/>
          <w:szCs w:val="30"/>
        </w:rPr>
        <w:t xml:space="preserve">Open risks &amp; gaps</w:t>
      </w:r>
    </w:p>
    <w:p>
      <w:pPr>
        <w:ind w:left="240"/>
        <w:spacing w:after="20"/>
      </w:pPr>
      <w:r>
        <w:rPr>
          <w:sz w:val="19"/>
          <w:szCs w:val="19"/>
        </w:rPr>
        <w:t xml:space="preserve">•  </w:t>
      </w:r>
      <w:r>
        <w:rPr>
          <w:sz w:val="19"/>
          <w:szCs w:val="19"/>
        </w:rPr>
        <w:t xml:space="preserve">1 open controls without evidence</w:t>
      </w:r>
    </w:p>
    <w:p>
      <w:pPr>
        <w:spacing w:after="40"/>
      </w:pPr>
    </w:p>
    <w:p>
      <w:pPr>
        <w:spacing w:before="160" w:after="60"/>
      </w:pPr>
      <w:r>
        <w:rPr>
          <w:b/>
          <w:sz w:val="30"/>
          <w:szCs w:val="30"/>
        </w:rPr>
        <w:t xml:space="preserve">Legal notices (disclaimer)</w:t>
      </w:r>
    </w:p>
    <w:p>
      <w:pPr>
        <w:ind w:left="240"/>
        <w:spacing w:after="20"/>
      </w:pPr>
      <w:r>
        <w:rPr>
          <w:sz w:val="19"/>
          <w:szCs w:val="19"/>
        </w:rPr>
        <w:t xml:space="preserve">•  </w:t>
      </w:r>
      <w:r>
        <w:rPr>
          <w:sz w:val="19"/>
          <w:szCs w:val="19"/>
        </w:rPr>
        <w:t xml:space="preserve">This report does not certify legal compliance.</w:t>
      </w:r>
    </w:p>
    <w:p>
      <w:pPr>
        <w:ind w:left="240"/>
        <w:spacing w:after="20"/>
      </w:pPr>
      <w:r>
        <w:rPr>
          <w:sz w:val="19"/>
          <w:szCs w:val="19"/>
        </w:rPr>
        <w:t xml:space="preserve">•  </w:t>
      </w:r>
      <w:r>
        <w:rPr>
          <w:sz w:val="19"/>
          <w:szCs w:val="19"/>
        </w:rPr>
        <w:t xml:space="preserve">The risk classification is preliminary and does not replace a legal assessment.</w:t>
      </w:r>
    </w:p>
    <w:p>
      <w:pPr>
        <w:ind w:left="240"/>
        <w:spacing w:after="20"/>
      </w:pPr>
      <w:r>
        <w:rPr>
          <w:sz w:val="19"/>
          <w:szCs w:val="19"/>
        </w:rPr>
        <w:t xml:space="preserve">•  </w:t>
      </w:r>
      <w:r>
        <w:rPr>
          <w:sz w:val="19"/>
          <w:szCs w:val="19"/>
        </w:rPr>
        <w:t xml:space="preserve">The legal assessment may require a specialized legal review.</w:t>
      </w:r>
    </w:p>
    <w:p>
      <w:pPr>
        <w:ind w:left="240"/>
        <w:spacing w:after="20"/>
      </w:pPr>
      <w:r>
        <w:rPr>
          <w:sz w:val="19"/>
          <w:szCs w:val="19"/>
        </w:rPr>
        <w:t xml:space="preserve">•  </w:t>
      </w:r>
      <w:r>
        <w:rPr>
          <w:sz w:val="19"/>
          <w:szCs w:val="19"/>
        </w:rPr>
        <w:t xml:space="preserve">This report serves governance and compliance preparation on an evidence basis. It does not constitute legal advice, certification, or a conformity attestation.</w:t>
      </w:r>
    </w:p>
    <w:p>
      <w:pPr>
        <w:ind w:left="240"/>
        <w:spacing w:after="20"/>
      </w:pPr>
      <w:r>
        <w:rPr>
          <w:sz w:val="19"/>
          <w:szCs w:val="19"/>
        </w:rPr>
        <w:t xml:space="preserve">•  </w:t>
      </w:r>
      <w:r>
        <w:rPr>
          <w:sz w:val="19"/>
          <w:szCs w:val="19"/>
        </w:rPr>
        <w:t xml:space="preserve">Human responsibility remains mandatory; AI does not make automatic decisions about persons.</w:t>
      </w:r>
    </w:p>
    <w:p>
      <w:pPr>
        <w:spacing w:after="40"/>
      </w:pPr>
    </w:p>
    <w:p>
      <w:pPr>
        <w:spacing w:before="160" w:after="60"/>
      </w:pPr>
      <w:r>
        <w:rPr>
          <w:b/>
          <w:sz w:val="30"/>
          <w:szCs w:val="30"/>
        </w:rPr>
        <w:t xml:space="preserve">Appendix</w:t>
      </w:r>
    </w:p>
    <w:p>
      <w:pPr>
        <w:spacing w:before="160" w:after="60"/>
      </w:pPr>
      <w:r>
        <w:rPr>
          <w:b/>
          <w:sz w:val="25"/>
          <w:szCs w:val="25"/>
        </w:rPr>
        <w:t xml:space="preserve">Control catalog</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Control</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Reference</w:t>
            </w:r>
          </w:p>
        </w:tc>
      </w:tr>
      <w:tr>
        <w:tc>
          <w:tcPr>
            <w:tcW w:w="3020" w:type="dxa"/>
          </w:tcPr>
          <w:p>
            <w:pPr>
              <w:spacing w:before="20" w:after="20"/>
            </w:pPr>
            <w:r>
              <w:rPr>
                <w:sz w:val="17"/>
                <w:szCs w:val="17"/>
              </w:rPr>
              <w:t xml:space="preserve">Check for prohibited practices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Risk management system</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Data governance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Technical documentation (Annex IV-like)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Record-keeping / logging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Transparency &amp; labeling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Human oversight</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Accuracy, robustness, cybersecurity</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Lawfulness of processing</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Data minimization</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Data protection impact assessment (DPIA)</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Data subject rights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Bias monitoring</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AI literacy of those involved</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Access control</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Audit/evidence chain</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Generation metadata</w:t>
      </w:r>
    </w:p>
    <w:p>
      <w:pPr>
        <w:spacing w:after="20"/>
      </w:pPr>
      <w:r>
        <w:rPr>
          <w:b/>
          <w:sz w:val="18"/>
          <w:szCs w:val="18"/>
        </w:rPr>
        <w:t xml:space="preserve">Generated at: </w:t>
      </w:r>
      <w:r>
        <w:rPr>
          <w:sz w:val="18"/>
          <w:szCs w:val="18"/>
        </w:rPr>
        <w:t xml:space="preserve">2026-09-04T07:43:56.913Z</w:t>
      </w:r>
    </w:p>
    <w:p>
      <w:pPr>
        <w:spacing w:after="20"/>
      </w:pPr>
      <w:r>
        <w:rPr>
          <w:b/>
          <w:sz w:val="18"/>
          <w:szCs w:val="18"/>
        </w:rPr>
        <w:t xml:space="preserve">Version: </w:t>
      </w:r>
      <w:r>
        <w:rPr>
          <w:sz w:val="18"/>
          <w:szCs w:val="18"/>
        </w:rPr>
        <w:t xml:space="preserve">0.1.0</w:t>
      </w:r>
    </w:p>
    <w:p>
      <w:pPr>
        <w:spacing w:after="20"/>
      </w:pPr>
      <w:r>
        <w:rPr>
          <w:b/>
          <w:sz w:val="18"/>
          <w:szCs w:val="18"/>
        </w:rPr>
        <w:t xml:space="preserve">Language coverage: </w:t>
      </w:r>
      <w:r>
        <w:rPr>
          <w:sz w:val="18"/>
          <w:szCs w:val="18"/>
        </w:rPr>
        <w:t xml:space="preserve">100 %</w:t>
      </w:r>
    </w:p>
    <w:p>
      <w:pPr>
        <w:spacing w:after="20"/>
      </w:pPr>
      <w:r>
        <w:rPr>
          <w:b/>
          <w:sz w:val="18"/>
          <w:szCs w:val="18"/>
        </w:rPr>
        <w:t xml:space="preserve">Number of evidence events: </w:t>
      </w:r>
      <w:r>
        <w:rPr>
          <w:sz w:val="18"/>
          <w:szCs w:val="18"/>
        </w:rPr>
        <w:t xml:space="preserve">1169</w:t>
      </w:r>
    </w:p>
    <w:p>
      <w:pPr>
        <w:spacing w:after="40"/>
      </w:pPr>
    </w:p>
    <w:p>
      <w:sectPr>
        <w:pgSz w:w="11906" w:h="16838"/>
        <w:pgMar w:top="1134" w:right="1134" w:bottom="1134" w:left="1134" w:header="720" w:footer="720" w:gutter="0"/>
      </w:sectPr>
    </w:p>
  </w:body>
</w:document>
</file>