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Informe de gobernanza — Asistencia de integración (MIIOS X)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preparación para la gobernanza, apoyo al aseguramiento y evidencia lista para auditoría. Ninguna certificación de conformidad jurídica.</w:t>
      </w:r>
    </w:p>
    <w:p>
      <w:pPr>
        <w:spacing w:after="20"/>
      </w:pPr>
      <w:r>
        <w:rPr>
          <w:b/>
          <w:sz w:val="18"/>
          <w:szCs w:val="18"/>
        </w:rPr>
        <w:t xml:space="preserve">Producto: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Caso de uso: </w:t>
      </w:r>
      <w:r>
        <w:rPr>
          <w:sz w:val="18"/>
          <w:szCs w:val="18"/>
        </w:rPr>
        <w:t xml:space="preserve">uc_miios_001 (v1)</w:t>
      </w:r>
    </w:p>
    <w:p>
      <w:pPr>
        <w:spacing w:after="20"/>
      </w:pPr>
      <w:r>
        <w:rPr>
          <w:b/>
          <w:sz w:val="18"/>
          <w:szCs w:val="18"/>
        </w:rPr>
        <w:t xml:space="preserve">Sistema fuente: </w:t>
      </w:r>
      <w:r>
        <w:rPr>
          <w:sz w:val="18"/>
          <w:szCs w:val="18"/>
        </w:rPr>
        <w:t xml:space="preserve">miios-x</w:t>
      </w:r>
    </w:p>
    <w:p>
      <w:pPr>
        <w:spacing w:after="20"/>
      </w:pPr>
      <w:r>
        <w:rPr>
          <w:b/>
          <w:sz w:val="18"/>
          <w:szCs w:val="18"/>
        </w:rPr>
        <w:t xml:space="preserve">Idioma: </w:t>
      </w:r>
      <w:r>
        <w:rPr>
          <w:sz w:val="18"/>
          <w:szCs w:val="18"/>
        </w:rPr>
        <w:t xml:space="preserve">ES</w:t>
      </w:r>
    </w:p>
    <w:p>
      <w:pPr>
        <w:spacing w:after="20"/>
      </w:pPr>
      <w:r>
        <w:rPr>
          <w:b/>
          <w:sz w:val="18"/>
          <w:szCs w:val="18"/>
        </w:rPr>
        <w:t xml:space="preserve">Modo de datos: </w:t>
      </w:r>
      <w:r>
        <w:rPr>
          <w:sz w:val="18"/>
          <w:szCs w:val="18"/>
        </w:rPr>
        <w:t xml:space="preserve">sintético</w:t>
      </w:r>
    </w:p>
    <w:p>
      <w:pPr>
        <w:spacing w:after="20"/>
      </w:pPr>
      <w:r>
        <w:rPr>
          <w:b/>
          <w:sz w:val="18"/>
          <w:szCs w:val="18"/>
        </w:rPr>
        <w:t xml:space="preserve">Generado el: </w:t>
      </w:r>
      <w:r>
        <w:rPr>
          <w:sz w:val="18"/>
          <w:szCs w:val="18"/>
        </w:rPr>
        <w:t xml:space="preserve">2026-09-04T07:41:32.272Z</w:t>
      </w:r>
    </w:p>
    <w:p>
      <w:pPr>
        <w:spacing w:after="20"/>
      </w:pPr>
      <w:r>
        <w:rPr>
          <w:b/>
          <w:sz w:val="18"/>
          <w:szCs w:val="18"/>
        </w:rPr>
        <w:t xml:space="preserve">Estado del informe: </w:t>
      </w:r>
      <w:r>
        <w:rPr>
          <w:sz w:val="18"/>
          <w:szCs w:val="18"/>
        </w:rPr>
        <w:t xml:space="preserve">Clasificado provisionalmente</w:t>
      </w:r>
    </w:p>
    <w:p>
      <w:pPr>
        <w:spacing w:after="20"/>
      </w:pPr>
      <w:r>
        <w:rPr>
          <w:b/>
          <w:sz w:val="18"/>
          <w:szCs w:val="18"/>
        </w:rPr>
        <w:t xml:space="preserve">Hash de integridad: </w:t>
      </w:r>
      <w:r>
        <w:rPr>
          <w:sz w:val="18"/>
          <w:szCs w:val="18"/>
        </w:rPr>
        <w:t xml:space="preserve">81cded555c8d4052…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informe se basa exclusivamente en datos sintéticos (funcionamiento piloto). Ningún dato personal real.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informe no certifica la conformidad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Resumen para responsables de decisión</w:t>
      </w:r>
    </w:p>
    <w:p>
      <w:pPr>
        <w:spacing w:after="60"/>
      </w:pPr>
      <w:r>
        <w:rPr>
          <w:sz w:val="19"/>
          <w:szCs w:val="19"/>
        </w:rPr>
        <w:t xml:space="preserve">Clasificación e indicaciones sobre metadatos de integración sintéticos — sin MIIOS en vivo, sin PII.</w:t>
      </w:r>
    </w:p>
    <w:p>
      <w:pPr>
        <w:spacing w:after="20"/>
      </w:pPr>
      <w:r>
        <w:rPr>
          <w:b/>
          <w:sz w:val="18"/>
          <w:szCs w:val="18"/>
        </w:rPr>
        <w:t xml:space="preserve">Finalidad prevista: </w:t>
      </w:r>
      <w:r>
        <w:rPr>
          <w:sz w:val="18"/>
          <w:szCs w:val="18"/>
        </w:rPr>
        <w:t xml:space="preserve">Indicaciones de integración revisadas por humanos — sin acoplamiento automático de sistemas.</w:t>
      </w:r>
    </w:p>
    <w:p>
      <w:pPr>
        <w:spacing w:after="20"/>
      </w:pPr>
      <w:r>
        <w:rPr>
          <w:b/>
          <w:sz w:val="18"/>
          <w:szCs w:val="18"/>
        </w:rPr>
        <w:t xml:space="preserve">Clase de riesgo preliminar: </w:t>
      </w:r>
      <w:r>
        <w:rPr>
          <w:sz w:val="18"/>
          <w:szCs w:val="18"/>
        </w:rPr>
        <w:t xml:space="preserve">Riesgo limitado — comprobar las obligaciones de transparencia</w:t>
      </w:r>
    </w:p>
    <w:p>
      <w:pPr>
        <w:spacing w:after="20"/>
      </w:pPr>
      <w:r>
        <w:rPr>
          <w:b/>
          <w:sz w:val="18"/>
          <w:szCs w:val="18"/>
        </w:rPr>
        <w:t xml:space="preserve">Supervisión humana requerida: </w:t>
      </w:r>
      <w:r>
        <w:rPr>
          <w:sz w:val="18"/>
          <w:szCs w:val="18"/>
        </w:rPr>
        <w:t xml:space="preserve">No</w:t>
      </w:r>
    </w:p>
    <w:p>
      <w:pPr>
        <w:spacing w:after="20"/>
      </w:pPr>
      <w:r>
        <w:rPr>
          <w:b/>
          <w:sz w:val="18"/>
          <w:szCs w:val="18"/>
        </w:rPr>
        <w:t xml:space="preserve">Preparación para la gobernanza: </w:t>
      </w:r>
      <w:r>
        <w:rPr>
          <w:sz w:val="18"/>
          <w:szCs w:val="18"/>
        </w:rPr>
        <w:t xml:space="preserve">1/2 Controles con evidencia/comprobados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preparación para la gobernanza designa el grado de preparación (evidencias disponibles/comprobadas) — no certifica la conformidad.</w:t>
      </w:r>
    </w:p>
    <w:p>
      <w:pPr>
        <w:spacing w:before="160" w:after="60"/>
      </w:pPr>
      <w:r>
        <w:rPr>
          <w:b/>
          <w:sz w:val="30"/>
          <w:szCs w:val="30"/>
        </w:rPr>
        <w:t xml:space="preserve">Perfil del caso de uso</w:t>
      </w:r>
    </w:p>
    <w:p>
      <w:pPr>
        <w:spacing w:after="20"/>
      </w:pPr>
      <w:r>
        <w:rPr>
          <w:b/>
          <w:sz w:val="18"/>
          <w:szCs w:val="18"/>
        </w:rPr>
        <w:t xml:space="preserve">Finalidad prevista: </w:t>
      </w:r>
      <w:r>
        <w:rPr>
          <w:sz w:val="18"/>
          <w:szCs w:val="18"/>
        </w:rPr>
        <w:t xml:space="preserve">Indicaciones de integración revisadas por humanos — sin acoplamiento automático de sistemas.</w:t>
      </w:r>
    </w:p>
    <w:p>
      <w:pPr>
        <w:spacing w:after="20"/>
      </w:pPr>
      <w:r>
        <w:rPr>
          <w:b/>
          <w:sz w:val="18"/>
          <w:szCs w:val="18"/>
        </w:rPr>
        <w:t xml:space="preserve">Grupos de personas afectadas: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Fuentes de datos: </w:t>
      </w:r>
      <w:r>
        <w:rPr>
          <w:sz w:val="18"/>
          <w:szCs w:val="18"/>
        </w:rPr>
        <w:t xml:space="preserve">integrationsmetadaten_synthetisch</w:t>
      </w:r>
    </w:p>
    <w:p>
      <w:pPr>
        <w:spacing w:after="20"/>
      </w:pPr>
      <w:r>
        <w:rPr>
          <w:b/>
          <w:sz w:val="18"/>
          <w:szCs w:val="18"/>
        </w:rPr>
        <w:t xml:space="preserve">Función de IA: </w:t>
      </w:r>
      <w:r>
        <w:rPr>
          <w:sz w:val="18"/>
          <w:szCs w:val="18"/>
        </w:rPr>
        <w:t xml:space="preserve">classification, recommendation</w:t>
      </w:r>
    </w:p>
    <w:p>
      <w:pPr>
        <w:spacing w:after="20"/>
      </w:pPr>
      <w:r>
        <w:rPr>
          <w:b/>
          <w:sz w:val="18"/>
          <w:szCs w:val="18"/>
        </w:rPr>
        <w:t xml:space="preserve">Impacto potencial: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Ámbito jurídico: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 fuente: </w:t>
      </w:r>
      <w:r>
        <w:rPr>
          <w:sz w:val="18"/>
          <w:szCs w:val="18"/>
        </w:rPr>
        <w:t xml:space="preserve">miios-x</w:t>
      </w:r>
    </w:p>
    <w:p>
      <w:pPr>
        <w:spacing w:after="20"/>
      </w:pPr>
      <w:r>
        <w:rPr>
          <w:b/>
          <w:sz w:val="18"/>
          <w:szCs w:val="18"/>
        </w:rPr>
        <w:t xml:space="preserve">Estado del ciclo de vida: </w:t>
      </w:r>
      <w:r>
        <w:rPr>
          <w:sz w:val="18"/>
          <w:szCs w:val="18"/>
        </w:rPr>
        <w:t xml:space="preserve">Clasificado provisionalmente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Evaluación de riesgo (preliminar)</w:t>
      </w:r>
    </w:p>
    <w:p>
      <w:pPr>
        <w:spacing w:after="20"/>
      </w:pPr>
      <w:r>
        <w:rPr>
          <w:b/>
          <w:sz w:val="18"/>
          <w:szCs w:val="18"/>
        </w:rPr>
        <w:t xml:space="preserve">Clase de riesgo preliminar: </w:t>
      </w:r>
      <w:r>
        <w:rPr>
          <w:sz w:val="18"/>
          <w:szCs w:val="18"/>
        </w:rPr>
        <w:t xml:space="preserve">Riesgo limitado — comprobar las obligaciones de transparencia</w:t>
      </w:r>
    </w:p>
    <w:p>
      <w:pPr>
        <w:spacing w:after="20"/>
      </w:pPr>
      <w:r>
        <w:rPr>
          <w:b/>
          <w:sz w:val="18"/>
          <w:szCs w:val="18"/>
        </w:rPr>
        <w:t xml:space="preserve">Confianza de la valoración: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Conjunto de reglas: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Se requiere revisión humana: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clasificación de riesgo es preliminar y no sustituye una evaluación jurídica.</w:t>
      </w:r>
    </w:p>
    <w:p>
      <w:pPr>
        <w:spacing w:before="160" w:after="60"/>
      </w:pPr>
      <w:r>
        <w:rPr>
          <w:b/>
          <w:sz w:val="25"/>
          <w:szCs w:val="25"/>
        </w:rPr>
        <w:t xml:space="preserve">Fundamentación (referencia a la regla)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Función de IA generativa o de recomendación — deben comprobarse las obligaciones de transparencia y etiquetado.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Medidas de mitigación de riesgos recomendadas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Etiquetar como tales los contenidos generados por IA; posibilidad de escalar a una persona en todo momento.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Incertidumbre de la valoración</w:t>
      </w:r>
    </w:p>
    <w:p>
      <w:pPr>
        <w:spacing w:after="60"/>
      </w:pPr>
      <w:r>
        <w:rPr>
          <w:sz w:val="19"/>
          <w:szCs w:val="19"/>
        </w:rPr>
        <w:t xml:space="preserve">El conjunto de reglas v0.1 trabaja con heurísticas de comprobación internas relativas al EU AI Act, el RGPD/GDPR, la DSG suiza y el contexto del Reino Unido. La valoración depende de la exhaustividad de los datos del registro y no sustituye una revisión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Resumen de políticas y controles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El estado del control documenta la comprobación de las evidencias — no certifica la conformidad.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Referencia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Estado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Evidencias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Transparencia y etiquetado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Evidencia adjuntada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Competencia en IA de las personas implicadas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Lagunas abiertas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Competencia en IA de las personas implicadas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Supervisión humana</w:t>
      </w:r>
    </w:p>
    <w:p>
      <w:pPr>
        <w:spacing w:after="20"/>
      </w:pPr>
      <w:r>
        <w:rPr>
          <w:b/>
          <w:sz w:val="18"/>
          <w:szCs w:val="18"/>
        </w:rPr>
        <w:t xml:space="preserve">Persona responsable: </w:t>
      </w:r>
      <w:r>
        <w:rPr>
          <w:sz w:val="18"/>
          <w:szCs w:val="18"/>
        </w:rPr>
        <w:t xml:space="preserve">Asignación de supervisión pendiente — antes de la aprobación debe designarse a un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Persona revisora: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responsabilidad humana sigue siendo obligatoria; la IA no toma decisiones automáticas sobre personas.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Historial de revisiones</w:t>
      </w:r>
    </w:p>
    <w:p>
      <w:pPr>
        <w:spacing w:after="60"/>
      </w:pPr>
      <w:r>
        <w:rPr>
          <w:sz w:val="19"/>
          <w:szCs w:val="19"/>
        </w:rPr>
        <w:t xml:space="preserve">Todavía no se han registrado decisiones de revisión.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Resumen de evidencias</w:t>
      </w:r>
    </w:p>
    <w:p>
      <w:pPr>
        <w:spacing w:after="20"/>
      </w:pPr>
      <w:r>
        <w:rPr>
          <w:b/>
          <w:sz w:val="18"/>
          <w:szCs w:val="18"/>
        </w:rPr>
        <w:t xml:space="preserve">Estado de la cadena de evidencias: </w:t>
      </w:r>
      <w:r>
        <w:rPr>
          <w:sz w:val="18"/>
          <w:szCs w:val="18"/>
        </w:rPr>
        <w:t xml:space="preserve">inválida (sospecha de manipulación)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evidencia: </w:t>
      </w:r>
      <w:r>
        <w:rPr>
          <w:sz w:val="18"/>
          <w:szCs w:val="18"/>
        </w:rPr>
        <w:t xml:space="preserve">36</w:t>
      </w:r>
    </w:p>
    <w:p>
      <w:pPr>
        <w:spacing w:after="20"/>
      </w:pPr>
      <w:r>
        <w:rPr>
          <w:b/>
          <w:sz w:val="18"/>
          <w:szCs w:val="18"/>
        </w:rPr>
        <w:t xml:space="preserve">Verificación superada: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Anclaje simulado (integración con PageCipher pendiente) — identificado como simulación.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Marca de tiempo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Acción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288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2026-08-31T04:51:05.068Z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6bf3f1dce570…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290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2026-08-31T04:51:05.602Z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6b7feb5e14cc…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342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2026-08-31T04:58:17.947Z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68a01624f23b…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344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2026-08-31T04:58:18.463Z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d4bec4ccf208…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350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2026-08-31T04:58:19.965Z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67e9c767dc98…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352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2026-08-31T04:58:20.449Z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db2a7dbd122c…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360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2026-08-31T04:58:22.450Z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36531b87dbe4…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362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2026-08-31T04:58:22.981Z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286bb7d07a34…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740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2026-09-04T05:44:08.902Z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9aa50e18857f…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818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2026-09-04T06:42:27.362Z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037b52aacc64…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824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2026-09-04T06:44:03.766Z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63b61486359f…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844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2026-09-04T06:47:30.947Z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142ac5eb69c0…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1098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2026-09-04T07:40:21.648Z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6286099846f7…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1124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2026-09-04T07:41:29.245Z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39566fceadd7…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Estado del ancla PageCipher</w:t>
      </w:r>
    </w:p>
    <w:p>
      <w:pPr>
        <w:spacing w:after="20"/>
      </w:pPr>
      <w:r>
        <w:rPr>
          <w:b/>
          <w:sz w:val="18"/>
          <w:szCs w:val="18"/>
        </w:rPr>
        <w:t xml:space="preserve">Estado de integración de PageCipher: </w:t>
      </w:r>
      <w:r>
        <w:rPr>
          <w:sz w:val="18"/>
          <w:szCs w:val="18"/>
        </w:rPr>
        <w:t xml:space="preserve">Activo (conexión HTTP con PageCipher)</w:t>
      </w:r>
    </w:p>
    <w:p>
      <w:pPr>
        <w:spacing w:after="20"/>
      </w:pPr>
      <w:r>
        <w:rPr>
          <w:b/>
          <w:sz w:val="18"/>
          <w:szCs w:val="18"/>
        </w:rPr>
        <w:t xml:space="preserve">Estado del ancla PageCipher: </w:t>
      </w:r>
      <w:r>
        <w:rPr>
          <w:sz w:val="18"/>
          <w:szCs w:val="18"/>
        </w:rPr>
        <w:t xml:space="preserve">30/36 Anclado</w:t>
      </w:r>
    </w:p>
    <w:p>
      <w:pPr>
        <w:spacing w:after="20"/>
      </w:pPr>
      <w:r>
        <w:rPr>
          <w:b/>
          <w:sz w:val="18"/>
          <w:szCs w:val="18"/>
        </w:rPr>
        <w:t xml:space="preserve">Referencia del ancla PageCipher: </w:t>
      </w:r>
      <w:r>
        <w:rPr>
          <w:sz w:val="18"/>
          <w:szCs w:val="18"/>
        </w:rPr>
        <w:t xml:space="preserve">pagecipher:8d152a155d83d8fa52653917d71511a1</w:t>
      </w:r>
    </w:p>
    <w:p>
      <w:pPr>
        <w:spacing w:after="20"/>
      </w:pPr>
      <w:r>
        <w:rPr>
          <w:b/>
          <w:sz w:val="18"/>
          <w:szCs w:val="18"/>
        </w:rPr>
        <w:t xml:space="preserve">Último intento de anclaje: </w:t>
      </w:r>
      <w:r>
        <w:rPr>
          <w:sz w:val="18"/>
          <w:szCs w:val="18"/>
        </w:rPr>
        <w:t xml:space="preserve">2026-09-04T07:41:29.250Z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El ancla PageCipher acredita la integridad y la procedencia de la evidencia — no certifica la conformidad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Riesgos y lagunas abiertos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 controles abiertos sin evidencia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Aviso legal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informe no certifica la conformidad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clasificación de riesgo es preliminar y no sustituye una evaluación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evaluación jurídica puede requerir una revisión jurídica especializada.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informe sirve para la preparación de la gobernanza y el cumplimiento sobre una base de evidencias. No constituye asesoramiento jurídico, certificación ni certificado de conformidad.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responsabilidad humana sigue siendo obligatoria; la IA no toma decisiones automáticas sobre personas.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Anexo</w:t>
      </w:r>
    </w:p>
    <w:p>
      <w:pPr>
        <w:spacing w:before="160" w:after="60"/>
      </w:pPr>
      <w:r>
        <w:rPr>
          <w:b/>
          <w:sz w:val="25"/>
          <w:szCs w:val="25"/>
        </w:rPr>
        <w:t xml:space="preserve">Catálogo de controles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Fuente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Referencia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Comprobación de prácticas prohibidas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de gestión de riesgos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Gobernanza de datos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Documentación técnica (cercana al Anexo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Registro de eventos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Transparencia y etiquetado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Supervisión humana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Precisión, robustez, ciberseguridad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Licitud del tratamiento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Minimización de datos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Evaluación de impacto relativa a la protección de datos (EIPD)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Derechos de los interesados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Monitorización de sesgos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Competencia en IA de las personas implicadas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 de acceso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Cadena de auditoría/evidencias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Metadatos de generación</w:t>
      </w:r>
    </w:p>
    <w:p>
      <w:pPr>
        <w:spacing w:after="20"/>
      </w:pPr>
      <w:r>
        <w:rPr>
          <w:b/>
          <w:sz w:val="18"/>
          <w:szCs w:val="18"/>
        </w:rPr>
        <w:t xml:space="preserve">Generado el: </w:t>
      </w:r>
      <w:r>
        <w:rPr>
          <w:sz w:val="18"/>
          <w:szCs w:val="18"/>
        </w:rPr>
        <w:t xml:space="preserve">2026-09-04T07:41:32.272Z</w:t>
      </w:r>
    </w:p>
    <w:p>
      <w:pPr>
        <w:spacing w:after="20"/>
      </w:pPr>
      <w:r>
        <w:rPr>
          <w:b/>
          <w:sz w:val="18"/>
          <w:szCs w:val="18"/>
        </w:rPr>
        <w:t xml:space="preserve">Versión: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Cobertura lingüística: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evidencia: </w:t>
      </w:r>
      <w:r>
        <w:rPr>
          <w:sz w:val="18"/>
          <w:szCs w:val="18"/>
        </w:rPr>
        <w:t xml:space="preserve">1135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