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60"/>
      </w:pPr>
      <w:r>
        <w:rPr>
          <w:b/>
          <w:sz w:val="44"/>
          <w:szCs w:val="44"/>
        </w:rPr>
        <w:t xml:space="preserve">Report di governance — Assistenza all'integrazione (MIIOS X)</w:t>
      </w:r>
    </w:p>
    <w:p>
      <w:pPr>
        <w:spacing w:after="80"/>
      </w:pPr>
      <w:r>
        <w:rPr>
          <w:sz w:val="20"/>
          <w:szCs w:val="20"/>
          <w:color w:val="6B7280"/>
        </w:rPr>
        <w:t xml:space="preserve">HumanOSE — preparazione alla governance, supporto all'assurance ed evidenze audit-ready. Nessuna attestazione di conformità giuridica.</w:t>
      </w:r>
    </w:p>
    <w:p>
      <w:pPr>
        <w:spacing w:after="20"/>
      </w:pPr>
      <w:r>
        <w:rPr>
          <w:b/>
          <w:sz w:val="18"/>
          <w:szCs w:val="18"/>
        </w:rPr>
        <w:t xml:space="preserve">Prodotto: </w:t>
      </w:r>
      <w:r>
        <w:rPr>
          <w:sz w:val="18"/>
          <w:szCs w:val="18"/>
        </w:rPr>
        <w:t xml:space="preserve">HumanOSE</w:t>
      </w:r>
    </w:p>
    <w:p>
      <w:pPr>
        <w:spacing w:after="20"/>
      </w:pPr>
      <w:r>
        <w:rPr>
          <w:b/>
          <w:sz w:val="18"/>
          <w:szCs w:val="18"/>
        </w:rPr>
        <w:t xml:space="preserve">Use Case: </w:t>
      </w:r>
      <w:r>
        <w:rPr>
          <w:sz w:val="18"/>
          <w:szCs w:val="18"/>
        </w:rPr>
        <w:t xml:space="preserve">uc_miios_001 (v1)</w:t>
      </w:r>
    </w:p>
    <w:p>
      <w:pPr>
        <w:spacing w:after="20"/>
      </w:pPr>
      <w:r>
        <w:rPr>
          <w:b/>
          <w:sz w:val="18"/>
          <w:szCs w:val="18"/>
        </w:rPr>
        <w:t xml:space="preserve">Sistema sorgente: </w:t>
      </w:r>
      <w:r>
        <w:rPr>
          <w:sz w:val="18"/>
          <w:szCs w:val="18"/>
        </w:rPr>
        <w:t xml:space="preserve">miios-x</w:t>
      </w:r>
    </w:p>
    <w:p>
      <w:pPr>
        <w:spacing w:after="20"/>
      </w:pPr>
      <w:r>
        <w:rPr>
          <w:b/>
          <w:sz w:val="18"/>
          <w:szCs w:val="18"/>
        </w:rPr>
        <w:t xml:space="preserve">Lingua: </w:t>
      </w:r>
      <w:r>
        <w:rPr>
          <w:sz w:val="18"/>
          <w:szCs w:val="18"/>
        </w:rPr>
        <w:t xml:space="preserve">IT</w:t>
      </w:r>
    </w:p>
    <w:p>
      <w:pPr>
        <w:spacing w:after="20"/>
      </w:pPr>
      <w:r>
        <w:rPr>
          <w:b/>
          <w:sz w:val="18"/>
          <w:szCs w:val="18"/>
        </w:rPr>
        <w:t xml:space="preserve">Modalità dati: </w:t>
      </w:r>
      <w:r>
        <w:rPr>
          <w:sz w:val="18"/>
          <w:szCs w:val="18"/>
        </w:rPr>
        <w:t xml:space="preserve">sintetico</w:t>
      </w:r>
    </w:p>
    <w:p>
      <w:pPr>
        <w:spacing w:after="20"/>
      </w:pPr>
      <w:r>
        <w:rPr>
          <w:b/>
          <w:sz w:val="18"/>
          <w:szCs w:val="18"/>
        </w:rPr>
        <w:t xml:space="preserve">Creato il: </w:t>
      </w:r>
      <w:r>
        <w:rPr>
          <w:sz w:val="18"/>
          <w:szCs w:val="18"/>
        </w:rPr>
        <w:t xml:space="preserve">2026-09-04T06:47:30.936Z</w:t>
      </w:r>
    </w:p>
    <w:p>
      <w:pPr>
        <w:spacing w:after="20"/>
      </w:pPr>
      <w:r>
        <w:rPr>
          <w:b/>
          <w:sz w:val="18"/>
          <w:szCs w:val="18"/>
        </w:rPr>
        <w:t xml:space="preserve">Stato del report: </w:t>
      </w:r>
      <w:r>
        <w:rPr>
          <w:sz w:val="18"/>
          <w:szCs w:val="18"/>
        </w:rPr>
        <w:t xml:space="preserve">Classificato in via preliminare</w:t>
      </w:r>
    </w:p>
    <w:p>
      <w:pPr>
        <w:spacing w:after="20"/>
      </w:pPr>
      <w:r>
        <w:rPr>
          <w:b/>
          <w:sz w:val="18"/>
          <w:szCs w:val="18"/>
        </w:rPr>
        <w:t xml:space="preserve">Hash di integrità: </w:t>
      </w:r>
      <w:r>
        <w:rPr>
          <w:sz w:val="18"/>
          <w:szCs w:val="18"/>
        </w:rPr>
        <w:t xml:space="preserve">5b4b9387451674b5…</w:t>
      </w:r>
    </w:p>
    <w:p>
      <w:pPr>
        <w:spacing w:after="6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Il presente report si basa esclusivamente su dati sintetici (esercizio pilota). Nessun dato personale reale.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Il presente report non certifica alcuna conformità giuridica.</w:t>
      </w:r>
    </w:p>
    <w:p>
      <w:pPr>
        <w:spacing w:before="160" w:after="60"/>
      </w:pPr>
      <w:r>
        <w:rPr>
          <w:b/>
          <w:sz w:val="30"/>
          <w:szCs w:val="30"/>
        </w:rPr>
        <w:t xml:space="preserve">Sintesi per i decisori</w:t>
      </w:r>
    </w:p>
    <w:p>
      <w:pPr>
        <w:spacing w:after="60"/>
      </w:pPr>
      <w:r>
        <w:rPr>
          <w:sz w:val="19"/>
          <w:szCs w:val="19"/>
        </w:rPr>
        <w:t xml:space="preserve">Classificazione e indicazioni su metadati di integrazione sintetici — nessun MIIOS live, nessuna PII.</w:t>
      </w:r>
    </w:p>
    <w:p>
      <w:pPr>
        <w:spacing w:after="20"/>
      </w:pPr>
      <w:r>
        <w:rPr>
          <w:b/>
          <w:sz w:val="18"/>
          <w:szCs w:val="18"/>
        </w:rPr>
        <w:t xml:space="preserve">Finalità prevista: </w:t>
      </w:r>
      <w:r>
        <w:rPr>
          <w:sz w:val="18"/>
          <w:szCs w:val="18"/>
        </w:rPr>
        <w:t xml:space="preserve">Indicazioni di integrazione revisionate da umani — nessun accoppiamento automatico di sistemi.</w:t>
      </w:r>
    </w:p>
    <w:p>
      <w:pPr>
        <w:spacing w:after="20"/>
      </w:pPr>
      <w:r>
        <w:rPr>
          <w:b/>
          <w:sz w:val="18"/>
          <w:szCs w:val="18"/>
        </w:rPr>
        <w:t xml:space="preserve">Classe di rischio preliminare: </w:t>
      </w:r>
      <w:r>
        <w:rPr>
          <w:sz w:val="18"/>
          <w:szCs w:val="18"/>
        </w:rPr>
        <w:t xml:space="preserve">Rischio limitato — verificare gli obblighi di trasparenza</w:t>
      </w:r>
    </w:p>
    <w:p>
      <w:pPr>
        <w:spacing w:after="20"/>
      </w:pPr>
      <w:r>
        <w:rPr>
          <w:b/>
          <w:sz w:val="18"/>
          <w:szCs w:val="18"/>
        </w:rPr>
        <w:t xml:space="preserve">Supervisione umana necessaria: </w:t>
      </w:r>
      <w:r>
        <w:rPr>
          <w:sz w:val="18"/>
          <w:szCs w:val="18"/>
        </w:rPr>
        <w:t xml:space="preserve">No</w:t>
      </w:r>
    </w:p>
    <w:p>
      <w:pPr>
        <w:spacing w:after="20"/>
      </w:pPr>
      <w:r>
        <w:rPr>
          <w:b/>
          <w:sz w:val="18"/>
          <w:szCs w:val="18"/>
        </w:rPr>
        <w:t xml:space="preserve">Governance Readiness: </w:t>
      </w:r>
      <w:r>
        <w:rPr>
          <w:sz w:val="18"/>
          <w:szCs w:val="18"/>
        </w:rPr>
        <w:t xml:space="preserve">1/2 Controlli con prova/verificati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La Governance Readiness indica il grado di preparazione (prove presenti/verificate) — non certifica alcuna conformità.</w:t>
      </w:r>
    </w:p>
    <w:p>
      <w:pPr>
        <w:spacing w:before="160" w:after="60"/>
      </w:pPr>
      <w:r>
        <w:rPr>
          <w:b/>
          <w:sz w:val="30"/>
          <w:szCs w:val="30"/>
        </w:rPr>
        <w:t xml:space="preserve">Profilo del caso d'uso</w:t>
      </w:r>
    </w:p>
    <w:p>
      <w:pPr>
        <w:spacing w:after="20"/>
      </w:pPr>
      <w:r>
        <w:rPr>
          <w:b/>
          <w:sz w:val="18"/>
          <w:szCs w:val="18"/>
        </w:rPr>
        <w:t xml:space="preserve">Finalità prevista: </w:t>
      </w:r>
      <w:r>
        <w:rPr>
          <w:sz w:val="18"/>
          <w:szCs w:val="18"/>
        </w:rPr>
        <w:t xml:space="preserve">Indicazioni di integrazione revisionate da umani — nessun accoppiamento automatico di sistemi.</w:t>
      </w:r>
    </w:p>
    <w:p>
      <w:pPr>
        <w:spacing w:after="20"/>
      </w:pPr>
      <w:r>
        <w:rPr>
          <w:b/>
          <w:sz w:val="18"/>
          <w:szCs w:val="18"/>
        </w:rPr>
        <w:t xml:space="preserve">Gruppi di persone interessate: </w:t>
      </w:r>
      <w:r>
        <w:rPr>
          <w:sz w:val="18"/>
          <w:szCs w:val="18"/>
        </w:rPr>
        <w:t xml:space="preserve">—</w:t>
      </w:r>
    </w:p>
    <w:p>
      <w:pPr>
        <w:spacing w:after="20"/>
      </w:pPr>
      <w:r>
        <w:rPr>
          <w:b/>
          <w:sz w:val="18"/>
          <w:szCs w:val="18"/>
        </w:rPr>
        <w:t xml:space="preserve">Fonti di dati: </w:t>
      </w:r>
      <w:r>
        <w:rPr>
          <w:sz w:val="18"/>
          <w:szCs w:val="18"/>
        </w:rPr>
        <w:t xml:space="preserve">integrationsmetadaten_synthetisch</w:t>
      </w:r>
    </w:p>
    <w:p>
      <w:pPr>
        <w:spacing w:after="20"/>
      </w:pPr>
      <w:r>
        <w:rPr>
          <w:b/>
          <w:sz w:val="18"/>
          <w:szCs w:val="18"/>
        </w:rPr>
        <w:t xml:space="preserve">Funzione di IA: </w:t>
      </w:r>
      <w:r>
        <w:rPr>
          <w:sz w:val="18"/>
          <w:szCs w:val="18"/>
        </w:rPr>
        <w:t xml:space="preserve">classification, recommendation</w:t>
      </w:r>
    </w:p>
    <w:p>
      <w:pPr>
        <w:spacing w:after="20"/>
      </w:pPr>
      <w:r>
        <w:rPr>
          <w:b/>
          <w:sz w:val="18"/>
          <w:szCs w:val="18"/>
        </w:rPr>
        <w:t xml:space="preserve">Impatti possibili: </w:t>
      </w:r>
      <w:r>
        <w:rPr>
          <w:sz w:val="18"/>
          <w:szCs w:val="18"/>
        </w:rPr>
        <w:t xml:space="preserve">operativ</w:t>
      </w:r>
    </w:p>
    <w:p>
      <w:pPr>
        <w:spacing w:after="20"/>
      </w:pPr>
      <w:r>
        <w:rPr>
          <w:b/>
          <w:sz w:val="18"/>
          <w:szCs w:val="18"/>
        </w:rPr>
        <w:t xml:space="preserve">Ambito giuridico: </w:t>
      </w:r>
      <w:r>
        <w:rPr>
          <w:sz w:val="18"/>
          <w:szCs w:val="18"/>
        </w:rPr>
        <w:t xml:space="preserve">eu-de</w:t>
      </w:r>
    </w:p>
    <w:p>
      <w:pPr>
        <w:spacing w:after="20"/>
      </w:pPr>
      <w:r>
        <w:rPr>
          <w:b/>
          <w:sz w:val="18"/>
          <w:szCs w:val="18"/>
        </w:rPr>
        <w:t xml:space="preserve">Sistema sorgente: </w:t>
      </w:r>
      <w:r>
        <w:rPr>
          <w:sz w:val="18"/>
          <w:szCs w:val="18"/>
        </w:rPr>
        <w:t xml:space="preserve">miios-x</w:t>
      </w:r>
    </w:p>
    <w:p>
      <w:pPr>
        <w:spacing w:after="20"/>
      </w:pPr>
      <w:r>
        <w:rPr>
          <w:b/>
          <w:sz w:val="18"/>
          <w:szCs w:val="18"/>
        </w:rPr>
        <w:t xml:space="preserve">Stato del ciclo di vita: </w:t>
      </w:r>
      <w:r>
        <w:rPr>
          <w:sz w:val="18"/>
          <w:szCs w:val="18"/>
        </w:rPr>
        <w:t xml:space="preserve">Classificato in via preliminare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Valutazione del rischio (preliminare)</w:t>
      </w:r>
    </w:p>
    <w:p>
      <w:pPr>
        <w:spacing w:after="20"/>
      </w:pPr>
      <w:r>
        <w:rPr>
          <w:b/>
          <w:sz w:val="18"/>
          <w:szCs w:val="18"/>
        </w:rPr>
        <w:t xml:space="preserve">Classe di rischio preliminare: </w:t>
      </w:r>
      <w:r>
        <w:rPr>
          <w:sz w:val="18"/>
          <w:szCs w:val="18"/>
        </w:rPr>
        <w:t xml:space="preserve">Rischio limitato — verificare gli obblighi di trasparenza</w:t>
      </w:r>
    </w:p>
    <w:p>
      <w:pPr>
        <w:spacing w:after="20"/>
      </w:pPr>
      <w:r>
        <w:rPr>
          <w:b/>
          <w:sz w:val="18"/>
          <w:szCs w:val="18"/>
        </w:rPr>
        <w:t xml:space="preserve">Livello di confidenza della valutazione: </w:t>
      </w:r>
      <w:r>
        <w:rPr>
          <w:sz w:val="18"/>
          <w:szCs w:val="18"/>
        </w:rPr>
        <w:t xml:space="preserve">high</w:t>
      </w:r>
    </w:p>
    <w:p>
      <w:pPr>
        <w:spacing w:after="20"/>
      </w:pPr>
      <w:r>
        <w:rPr>
          <w:b/>
          <w:sz w:val="18"/>
          <w:szCs w:val="18"/>
        </w:rPr>
        <w:t xml:space="preserve">Set di regole: </w:t>
      </w:r>
      <w:r>
        <w:rPr>
          <w:sz w:val="18"/>
          <w:szCs w:val="18"/>
        </w:rPr>
        <w:t xml:space="preserve">v0.1.0</w:t>
      </w:r>
    </w:p>
    <w:p>
      <w:pPr>
        <w:spacing w:after="20"/>
      </w:pPr>
      <w:r>
        <w:rPr>
          <w:b/>
          <w:sz w:val="18"/>
          <w:szCs w:val="18"/>
        </w:rPr>
        <w:t xml:space="preserve">Verifica umana necessaria: </w:t>
      </w:r>
      <w:r>
        <w:rPr>
          <w:sz w:val="18"/>
          <w:szCs w:val="18"/>
        </w:rPr>
        <w:t xml:space="preserve">No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La classificazione del rischio è preliminare e non sostituisce una valutazione giuridica.</w:t>
      </w:r>
    </w:p>
    <w:p>
      <w:pPr>
        <w:spacing w:before="160" w:after="60"/>
      </w:pPr>
      <w:r>
        <w:rPr>
          <w:b/>
          <w:sz w:val="25"/>
          <w:szCs w:val="25"/>
        </w:rPr>
        <w:t xml:space="preserve">Motivazione (riferimento alla regola)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R-LIM-TRANSPARENCY-01 — Funzione di IA generativa o di raccomandazione — vanno verificati gli obblighi di trasparenza ed etichettatura.</w:t>
      </w:r>
    </w:p>
    <w:p>
      <w:pPr>
        <w:spacing w:after="40"/>
      </w:pPr>
    </w:p>
    <w:p>
      <w:pPr>
        <w:spacing w:before="160" w:after="60"/>
      </w:pPr>
      <w:r>
        <w:rPr>
          <w:b/>
          <w:sz w:val="25"/>
          <w:szCs w:val="25"/>
        </w:rPr>
        <w:t xml:space="preserve">Misure di mitigazione del rischio raccomandate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Contrassegnare come tali i contenuti generati dall'IA; escalation a un essere umano possibile in qualsiasi momento.</w:t>
      </w:r>
    </w:p>
    <w:p>
      <w:pPr>
        <w:spacing w:after="40"/>
      </w:pPr>
    </w:p>
    <w:p>
      <w:pPr>
        <w:spacing w:before="160" w:after="60"/>
      </w:pPr>
      <w:r>
        <w:rPr>
          <w:b/>
          <w:sz w:val="25"/>
          <w:szCs w:val="25"/>
        </w:rPr>
        <w:t xml:space="preserve">Incertezza della valutazione</w:t>
      </w:r>
    </w:p>
    <w:p>
      <w:pPr>
        <w:spacing w:after="60"/>
      </w:pPr>
      <w:r>
        <w:rPr>
          <w:sz w:val="19"/>
          <w:szCs w:val="19"/>
        </w:rPr>
        <w:t xml:space="preserve">Il set di regole v0.1 opera con euristiche di verifica interne relative a EU AI Act, GDPR, DSG svizzero e contesto britannico. La valutazione dipende dalla completezza dei dati della Registry e non sostituisce un esame giuridico.</w:t>
      </w:r>
    </w:p>
    <w:p>
      <w:pPr>
        <w:spacing w:before="160" w:after="60"/>
      </w:pPr>
      <w:r>
        <w:rPr>
          <w:b/>
          <w:sz w:val="30"/>
          <w:szCs w:val="30"/>
        </w:rPr>
        <w:t xml:space="preserve">Panoramica di policy e controlli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Lo stato del controllo documenta la verifica delle prove — non certifica alcuna conformità.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2265"/>
        <w:gridCol w:w="2265"/>
        <w:gridCol w:w="2265"/>
        <w:gridCol w:w="2265"/>
      </w:tblGrid>
      <w:tr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Controllo</w:t>
            </w:r>
          </w:p>
        </w:tc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Riferimento</w:t>
            </w:r>
          </w:p>
        </w:tc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Stato</w:t>
            </w:r>
          </w:p>
        </w:tc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Prove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Trasparenza ed etichettatura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13 / 50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Prova allegata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Competenza in materia di IA delle persone coinvolte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4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Aperto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Lacune aperte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Competenza in materia di IA delle persone coinvolte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Supervisione umana</w:t>
      </w:r>
    </w:p>
    <w:p>
      <w:pPr>
        <w:spacing w:after="20"/>
      </w:pPr>
      <w:r>
        <w:rPr>
          <w:b/>
          <w:sz w:val="18"/>
          <w:szCs w:val="18"/>
        </w:rPr>
        <w:t xml:space="preserve">Persona responsabile: </w:t>
      </w:r>
      <w:r>
        <w:rPr>
          <w:sz w:val="18"/>
          <w:szCs w:val="18"/>
        </w:rPr>
        <w:t xml:space="preserve">Assegnazione dell'oversight in sospeso — prima dell'approvazione va designato un final responsible human.</w:t>
      </w:r>
    </w:p>
    <w:p>
      <w:pPr>
        <w:spacing w:after="20"/>
      </w:pPr>
      <w:r>
        <w:rPr>
          <w:b/>
          <w:sz w:val="18"/>
          <w:szCs w:val="18"/>
        </w:rPr>
        <w:t xml:space="preserve">Persona revisora: </w:t>
      </w:r>
      <w:r>
        <w:rPr>
          <w:sz w:val="18"/>
          <w:szCs w:val="18"/>
        </w:rPr>
        <w:t xml:space="preserve">—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La responsabilità umana rimane obbligatoria; l'IA non prende decisioni automatiche sulle persone.</w:t>
      </w:r>
    </w:p>
    <w:p>
      <w:pPr>
        <w:spacing w:before="160" w:after="60"/>
      </w:pPr>
      <w:r>
        <w:rPr>
          <w:b/>
          <w:sz w:val="25"/>
          <w:szCs w:val="25"/>
        </w:rPr>
        <w:t xml:space="preserve">Cronologia delle revisioni</w:t>
      </w:r>
    </w:p>
    <w:p>
      <w:pPr>
        <w:spacing w:after="60"/>
      </w:pPr>
      <w:r>
        <w:rPr>
          <w:sz w:val="19"/>
          <w:szCs w:val="19"/>
        </w:rPr>
        <w:t xml:space="preserve">Nessuna decisione di revisione ancora registrata.</w:t>
      </w:r>
    </w:p>
    <w:p>
      <w:pPr>
        <w:spacing w:before="160" w:after="60"/>
      </w:pPr>
      <w:r>
        <w:rPr>
          <w:b/>
          <w:sz w:val="30"/>
          <w:szCs w:val="30"/>
        </w:rPr>
        <w:t xml:space="preserve">Sintesi delle evidenze</w:t>
      </w:r>
    </w:p>
    <w:p>
      <w:pPr>
        <w:spacing w:after="20"/>
      </w:pPr>
      <w:r>
        <w:rPr>
          <w:b/>
          <w:sz w:val="18"/>
          <w:szCs w:val="18"/>
        </w:rPr>
        <w:t xml:space="preserve">Stato della catena di evidenze: </w:t>
      </w:r>
      <w:r>
        <w:rPr>
          <w:sz w:val="18"/>
          <w:szCs w:val="18"/>
        </w:rPr>
        <w:t xml:space="preserve">non valida (sospetta manomissione)</w:t>
      </w:r>
    </w:p>
    <w:p>
      <w:pPr>
        <w:spacing w:after="20"/>
      </w:pPr>
      <w:r>
        <w:rPr>
          <w:b/>
          <w:sz w:val="18"/>
          <w:szCs w:val="18"/>
        </w:rPr>
        <w:t xml:space="preserve">Numero di eventi di evidenza: </w:t>
      </w:r>
      <w:r>
        <w:rPr>
          <w:sz w:val="18"/>
          <w:szCs w:val="18"/>
        </w:rPr>
        <w:t xml:space="preserve">33</w:t>
      </w:r>
    </w:p>
    <w:p>
      <w:pPr>
        <w:spacing w:after="20"/>
      </w:pPr>
      <w:r>
        <w:rPr>
          <w:b/>
          <w:sz w:val="18"/>
          <w:szCs w:val="18"/>
        </w:rPr>
        <w:t xml:space="preserve">Verifica superata: </w:t>
      </w:r>
      <w:r>
        <w:rPr>
          <w:sz w:val="18"/>
          <w:szCs w:val="18"/>
        </w:rPr>
        <w:t xml:space="preserve">No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Ancoraggio simulato (integrazione PageCipher in sospeso) — contrassegnato come simulazione.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1812"/>
        <w:gridCol w:w="1812"/>
        <w:gridCol w:w="1812"/>
        <w:gridCol w:w="1812"/>
        <w:gridCol w:w="1812"/>
      </w:tblGrid>
      <w:tr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#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Marca temporale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Actor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Azione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Hash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272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2026-08-31T04:50:55.051Z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92426cab7d08…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274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2026-08-31T04:50:55.566Z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517e84fe4975…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286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2026-08-31T04:51:04.528Z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f1078a36b56b…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288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2026-08-31T04:51:05.068Z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6bf3f1dce570…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290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2026-08-31T04:51:05.602Z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6b7feb5e14cc…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342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2026-08-31T04:58:17.947Z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68a01624f23b…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344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2026-08-31T04:58:18.463Z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d4bec4ccf208…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350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2026-08-31T04:58:19.965Z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67e9c767dc98…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352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2026-08-31T04:58:20.449Z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db2a7dbd122c…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360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2026-08-31T04:58:22.450Z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36531b87dbe4…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362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2026-08-31T04:58:22.981Z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286bb7d07a34…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740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2026-09-04T05:44:08.902Z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9aa50e18857f…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818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2026-09-04T06:42:27.362Z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037b52aacc64…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824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2026-09-04T06:44:03.766Z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63b61486359f…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Stato dell'ancora PageCipher</w:t>
      </w:r>
    </w:p>
    <w:p>
      <w:pPr>
        <w:spacing w:after="20"/>
      </w:pPr>
      <w:r>
        <w:rPr>
          <w:b/>
          <w:sz w:val="18"/>
          <w:szCs w:val="18"/>
        </w:rPr>
        <w:t xml:space="preserve">Stato dell'integrazione PageCipher: </w:t>
      </w:r>
      <w:r>
        <w:rPr>
          <w:sz w:val="18"/>
          <w:szCs w:val="18"/>
        </w:rPr>
        <w:t xml:space="preserve">Attivo (integrazione HTTP con PageCipher)</w:t>
      </w:r>
    </w:p>
    <w:p>
      <w:pPr>
        <w:spacing w:after="20"/>
      </w:pPr>
      <w:r>
        <w:rPr>
          <w:b/>
          <w:sz w:val="18"/>
          <w:szCs w:val="18"/>
        </w:rPr>
        <w:t xml:space="preserve">Stato dell'ancora PageCipher: </w:t>
      </w:r>
      <w:r>
        <w:rPr>
          <w:sz w:val="18"/>
          <w:szCs w:val="18"/>
        </w:rPr>
        <w:t xml:space="preserve">27/33 Ancorato</w:t>
      </w:r>
    </w:p>
    <w:p>
      <w:pPr>
        <w:spacing w:after="20"/>
      </w:pPr>
      <w:r>
        <w:rPr>
          <w:b/>
          <w:sz w:val="18"/>
          <w:szCs w:val="18"/>
        </w:rPr>
        <w:t xml:space="preserve">Riferimento dell'ancora PageCipher: </w:t>
      </w:r>
      <w:r>
        <w:rPr>
          <w:sz w:val="18"/>
          <w:szCs w:val="18"/>
        </w:rPr>
        <w:t xml:space="preserve">pagecipher:8d152a155d83d8fa52653917d71511a1</w:t>
      </w:r>
    </w:p>
    <w:p>
      <w:pPr>
        <w:spacing w:after="20"/>
      </w:pPr>
      <w:r>
        <w:rPr>
          <w:b/>
          <w:sz w:val="18"/>
          <w:szCs w:val="18"/>
        </w:rPr>
        <w:t xml:space="preserve">Ultimo tentativo di ancoraggio: </w:t>
      </w:r>
      <w:r>
        <w:rPr>
          <w:sz w:val="18"/>
          <w:szCs w:val="18"/>
        </w:rPr>
        <w:t xml:space="preserve">2026-09-04T06:44:03.770Z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L'ancora PageCipher attesta l'integrità e la provenienza delle evidenze — non certifica alcuna conformità giuridica.</w:t>
      </w:r>
    </w:p>
    <w:p>
      <w:pPr>
        <w:spacing w:before="160" w:after="60"/>
      </w:pPr>
      <w:r>
        <w:rPr>
          <w:b/>
          <w:sz w:val="30"/>
          <w:szCs w:val="30"/>
        </w:rPr>
        <w:t xml:space="preserve">Rischi e lacune aperti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1 controlli aperti senza prova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Avvertenze legali (disclaimer)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Il presente report non certifica alcuna conformità giuridica.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La classificazione del rischio è preliminare e non sostituisce una valutazione giuridica.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La valutazione giuridica può richiedere un esame legale specializzato.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Il presente report serve alla preparazione alla governance e alla compliance su base probatoria. Non costituisce consulenza legale, certificazione né attestazione di conformità.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La responsabilità umana rimane obbligatoria; l'IA non prende decisioni automatiche sulle persone.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Appendice</w:t>
      </w:r>
    </w:p>
    <w:p>
      <w:pPr>
        <w:spacing w:before="160" w:after="60"/>
      </w:pPr>
      <w:r>
        <w:rPr>
          <w:b/>
          <w:sz w:val="25"/>
          <w:szCs w:val="25"/>
        </w:rPr>
        <w:t xml:space="preserve">Catalogo dei controlli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3020"/>
        <w:gridCol w:w="3020"/>
        <w:gridCol w:w="3020"/>
      </w:tblGrid>
      <w:tr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Controllo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Fonte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Riferimento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Verifica delle pratiche vietate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Sistema di gestione del rischio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9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Data governance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10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Documentazione tecnica (simile all'Allegato IV)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11 / Annex IV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Registrazione dei log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12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Trasparenza ed etichettatura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13 / 50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Supervisione umana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14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Accuratezza, robustezza, cybersicurezza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Liceità del trattamento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6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Minimizzazione dei dati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5(1c)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Valutazione d'impatto sulla protezione dei dati (DPIA)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35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Diritti degli interessati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12–22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Monitoraggio dei bias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internal_policy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Policy AI-BIAS-01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Competenza in materia di IA delle persone coinvolte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ai_literacy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4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Controllo degli accessi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security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ISO 27001 A.9 (Referenz)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Catena di audit/evidenze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audit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Evidence Standard (ADR-003)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Metadati di generazione</w:t>
      </w:r>
    </w:p>
    <w:p>
      <w:pPr>
        <w:spacing w:after="20"/>
      </w:pPr>
      <w:r>
        <w:rPr>
          <w:b/>
          <w:sz w:val="18"/>
          <w:szCs w:val="18"/>
        </w:rPr>
        <w:t xml:space="preserve">Creato il: </w:t>
      </w:r>
      <w:r>
        <w:rPr>
          <w:sz w:val="18"/>
          <w:szCs w:val="18"/>
        </w:rPr>
        <w:t xml:space="preserve">2026-09-04T06:47:30.936Z</w:t>
      </w:r>
    </w:p>
    <w:p>
      <w:pPr>
        <w:spacing w:after="20"/>
      </w:pPr>
      <w:r>
        <w:rPr>
          <w:b/>
          <w:sz w:val="18"/>
          <w:szCs w:val="18"/>
        </w:rPr>
        <w:t xml:space="preserve">Versione: </w:t>
      </w:r>
      <w:r>
        <w:rPr>
          <w:sz w:val="18"/>
          <w:szCs w:val="18"/>
        </w:rPr>
        <w:t xml:space="preserve">0.1.0</w:t>
      </w:r>
    </w:p>
    <w:p>
      <w:pPr>
        <w:spacing w:after="20"/>
      </w:pPr>
      <w:r>
        <w:rPr>
          <w:b/>
          <w:sz w:val="18"/>
          <w:szCs w:val="18"/>
        </w:rPr>
        <w:t xml:space="preserve">Copertura linguistica: </w:t>
      </w:r>
      <w:r>
        <w:rPr>
          <w:sz w:val="18"/>
          <w:szCs w:val="18"/>
        </w:rPr>
        <w:t xml:space="preserve">100 %</w:t>
      </w:r>
    </w:p>
    <w:p>
      <w:pPr>
        <w:spacing w:after="20"/>
      </w:pPr>
      <w:r>
        <w:rPr>
          <w:b/>
          <w:sz w:val="18"/>
          <w:szCs w:val="18"/>
        </w:rPr>
        <w:t xml:space="preserve">Numero di eventi di evidenza: </w:t>
      </w:r>
      <w:r>
        <w:rPr>
          <w:sz w:val="18"/>
          <w:szCs w:val="18"/>
        </w:rPr>
        <w:t xml:space="preserve">843</w:t>
      </w:r>
    </w:p>
    <w:p>
      <w:pPr>
        <w:spacing w:after="40"/>
      </w:pPr>
    </w:p>
    <w:p>
      <w:sectPr>
        <w:pgSz w:w="11906" w:h="16838"/>
        <w:pgMar w:top="1134" w:right="1134" w:bottom="1134" w:left="1134" w:header="720" w:footer="720" w:gutter="0"/>
      </w:sectPr>
    </w:p>
  </w:body>
</w:document>
</file>