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Governance-rapport — Governance-taakhint (SEOS)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voorbereiding van governance, assurance-ondersteuning en auditklaar bewijs. Geen bewijs van rechtsconformiteit.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uc_seos_001 (v1)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Taal: </w:t>
      </w:r>
      <w:r>
        <w:rPr>
          <w:sz w:val="18"/>
          <w:szCs w:val="18"/>
        </w:rPr>
        <w:t xml:space="preserve">NL</w:t>
      </w:r>
    </w:p>
    <w:p>
      <w:pPr>
        <w:spacing w:after="20"/>
      </w:pPr>
      <w:r>
        <w:rPr>
          <w:b/>
          <w:sz w:val="18"/>
          <w:szCs w:val="18"/>
        </w:rPr>
        <w:t xml:space="preserve">Gegevensmodus: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2026-09-04T07:40:17.171Z</w:t>
      </w:r>
    </w:p>
    <w:p>
      <w:pPr>
        <w:spacing w:after="20"/>
      </w:pPr>
      <w:r>
        <w:rPr>
          <w:b/>
          <w:sz w:val="18"/>
          <w:szCs w:val="18"/>
        </w:rPr>
        <w:t xml:space="preserve">Rapportstatus: </w:t>
      </w:r>
      <w:r>
        <w:rPr>
          <w:sz w:val="18"/>
          <w:szCs w:val="18"/>
        </w:rPr>
        <w:t xml:space="preserve">Voorlopig geclassificeerd</w:t>
      </w:r>
    </w:p>
    <w:p>
      <w:pPr>
        <w:spacing w:after="20"/>
      </w:pPr>
      <w:r>
        <w:rPr>
          <w:b/>
          <w:sz w:val="18"/>
          <w:szCs w:val="18"/>
        </w:rPr>
        <w:t xml:space="preserve">Integriteits-hash: </w:t>
      </w:r>
      <w:r>
        <w:rPr>
          <w:sz w:val="18"/>
          <w:szCs w:val="18"/>
        </w:rPr>
        <w:t xml:space="preserve">f48b167656858713…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is uitsluitend gebaseerd op synthetische gegevens (pilotbedrijf). Geen echte persoonsgegevens.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Dit rapport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Samenvatting voor besluitvormers</w:t>
      </w:r>
    </w:p>
    <w:p>
      <w:pPr>
        <w:spacing w:after="60"/>
      </w:pPr>
      <w:r>
        <w:rPr>
          <w:sz w:val="19"/>
          <w:szCs w:val="19"/>
        </w:rPr>
        <w:t xml:space="preserve">Classificatie van synthetische taakmetadata voor review-/herbeoordelingshints — SEOS blijft externe C6-partner.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Traceerbare taakhints met menselijke verantwoordelijkheid — geen automatische escalatie naar personen.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Minimaal risico — basisdocumentatie</w:t>
      </w:r>
    </w:p>
    <w:p>
      <w:pPr>
        <w:spacing w:after="20"/>
      </w:pPr>
      <w:r>
        <w:rPr>
          <w:b/>
          <w:sz w:val="18"/>
          <w:szCs w:val="18"/>
        </w:rPr>
        <w:t xml:space="preserve">Menselijk toezicht vereist: </w:t>
      </w:r>
      <w:r>
        <w:rPr>
          <w:sz w:val="18"/>
          <w:szCs w:val="18"/>
        </w:rPr>
        <w:t xml:space="preserve">Nee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0/0 Controles met bewijs/getoetst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duidt de mate van voorbereiding aan (bewijzen aanwezig/getoetst) — het certificeert geen 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Use-case-profiel</w:t>
      </w:r>
    </w:p>
    <w:p>
      <w:pPr>
        <w:spacing w:after="20"/>
      </w:pPr>
      <w:r>
        <w:rPr>
          <w:b/>
          <w:sz w:val="18"/>
          <w:szCs w:val="18"/>
        </w:rPr>
        <w:t xml:space="preserve">Beoogd doel: </w:t>
      </w:r>
      <w:r>
        <w:rPr>
          <w:sz w:val="18"/>
          <w:szCs w:val="18"/>
        </w:rPr>
        <w:t xml:space="preserve">Traceerbare taakhints met menselijke verantwoordelijkheid — geen automatische escalatie naar personen.</w:t>
      </w:r>
    </w:p>
    <w:p>
      <w:pPr>
        <w:spacing w:after="20"/>
      </w:pPr>
      <w:r>
        <w:rPr>
          <w:b/>
          <w:sz w:val="18"/>
          <w:szCs w:val="18"/>
        </w:rPr>
        <w:t xml:space="preserve">Betrokken persoonsgroepen: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Gegevensbronnen: </w:t>
      </w:r>
      <w:r>
        <w:rPr>
          <w:sz w:val="18"/>
          <w:szCs w:val="18"/>
        </w:rPr>
        <w:t xml:space="preserve">aufgabenmetadaten_synthetisch</w:t>
      </w:r>
    </w:p>
    <w:p>
      <w:pPr>
        <w:spacing w:after="20"/>
      </w:pPr>
      <w:r>
        <w:rPr>
          <w:b/>
          <w:sz w:val="18"/>
          <w:szCs w:val="18"/>
        </w:rPr>
        <w:t xml:space="preserve">AI-functie: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Mogelijke impact: </w:t>
      </w:r>
      <w:r>
        <w:rPr>
          <w:sz w:val="18"/>
          <w:szCs w:val="18"/>
        </w:rPr>
        <w:t xml:space="preserve">operativ, nachvollziehbarkeit</w:t>
      </w:r>
    </w:p>
    <w:p>
      <w:pPr>
        <w:spacing w:after="20"/>
      </w:pPr>
      <w:r>
        <w:rPr>
          <w:b/>
          <w:sz w:val="18"/>
          <w:szCs w:val="18"/>
        </w:rPr>
        <w:t xml:space="preserve">Rechtsgebied: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Bronsysteem: </w:t>
      </w:r>
      <w:r>
        <w:rPr>
          <w:sz w:val="18"/>
          <w:szCs w:val="18"/>
        </w:rPr>
        <w:t xml:space="preserve">seos</w:t>
      </w:r>
    </w:p>
    <w:p>
      <w:pPr>
        <w:spacing w:after="20"/>
      </w:pPr>
      <w:r>
        <w:rPr>
          <w:b/>
          <w:sz w:val="18"/>
          <w:szCs w:val="18"/>
        </w:rPr>
        <w:t xml:space="preserve">Levenscyclusstatus: </w:t>
      </w:r>
      <w:r>
        <w:rPr>
          <w:sz w:val="18"/>
          <w:szCs w:val="18"/>
        </w:rPr>
        <w:t xml:space="preserve">Voorlopig geclassificeerd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Risicobeoordeling (voorlopig)</w:t>
      </w:r>
    </w:p>
    <w:p>
      <w:pPr>
        <w:spacing w:after="20"/>
      </w:pPr>
      <w:r>
        <w:rPr>
          <w:b/>
          <w:sz w:val="18"/>
          <w:szCs w:val="18"/>
        </w:rPr>
        <w:t xml:space="preserve">Voorlopige risicoklasse: </w:t>
      </w:r>
      <w:r>
        <w:rPr>
          <w:sz w:val="18"/>
          <w:szCs w:val="18"/>
        </w:rPr>
        <w:t xml:space="preserve">Minimaal risico — basisdocumentatie</w:t>
      </w:r>
    </w:p>
    <w:p>
      <w:pPr>
        <w:spacing w:after="20"/>
      </w:pPr>
      <w:r>
        <w:rPr>
          <w:b/>
          <w:sz w:val="18"/>
          <w:szCs w:val="18"/>
        </w:rPr>
        <w:t xml:space="preserve">Betrouwbaarheid van de inschatting: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Regelset: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Menselijke toetsing vereist: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risicoclassificatie is voorlopig en vervangt geen juridische beoordeling.</w:t>
      </w:r>
    </w:p>
    <w:p>
      <w:pPr>
        <w:spacing w:before="160" w:after="60"/>
      </w:pPr>
      <w:r>
        <w:rPr>
          <w:b/>
          <w:sz w:val="25"/>
          <w:szCs w:val="25"/>
        </w:rPr>
        <w:t xml:space="preserve">Onderbouwing (regelverwijzing)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R-BASE-00 — Geen risicoregel geactiveerd — basisdocumentatie en periodieke herbeoordeling.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Onzekerheid van de inschatting</w:t>
      </w:r>
    </w:p>
    <w:p>
      <w:pPr>
        <w:spacing w:after="60"/>
      </w:pPr>
      <w:r>
        <w:rPr>
          <w:sz w:val="19"/>
          <w:szCs w:val="19"/>
        </w:rPr>
        <w:t xml:space="preserve">Regelset v0.1 werkt met interne toetsingsheuristieken voor EU AI Act, AVG/GDPR, het Zwitserse DSG en de UK-context. De inschatting hangt af van de volledigheid van de registrygegevens en vervangt geen juridische toetsing.</w:t>
      </w:r>
    </w:p>
    <w:p>
      <w:pPr>
        <w:spacing w:before="160" w:after="60"/>
      </w:pPr>
      <w:r>
        <w:rPr>
          <w:b/>
          <w:sz w:val="30"/>
          <w:szCs w:val="30"/>
        </w:rPr>
        <w:t xml:space="preserve">Overzicht van policy's en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controlestatus documenteert de toetsing van de bewijzen — hij certificeert geen conformiteit.</w:t>
      </w:r>
    </w:p>
    <w:p>
      <w:pPr>
        <w:spacing w:after="60"/>
      </w:pPr>
      <w:r>
        <w:rPr>
          <w:sz w:val="19"/>
          <w:szCs w:val="19"/>
        </w:rPr>
        <w:t xml:space="preserve">Use case is nog niet geclassificeerd — controles zijn pas beschikbaar na de risicoclassificatie.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Menselijk toezicht</w:t>
      </w:r>
    </w:p>
    <w:p>
      <w:pPr>
        <w:spacing w:after="20"/>
      </w:pPr>
      <w:r>
        <w:rPr>
          <w:b/>
          <w:sz w:val="18"/>
          <w:szCs w:val="18"/>
        </w:rPr>
        <w:t xml:space="preserve">Verantwoordelijke mens: </w:t>
      </w:r>
      <w:r>
        <w:rPr>
          <w:sz w:val="18"/>
          <w:szCs w:val="18"/>
        </w:rPr>
        <w:t xml:space="preserve">Toewijzing van oversight in afwachting — vóór goedkeuring moet een final responsible human worden aangewezen.</w:t>
      </w:r>
    </w:p>
    <w:p>
      <w:pPr>
        <w:spacing w:after="20"/>
      </w:pPr>
      <w:r>
        <w:rPr>
          <w:b/>
          <w:sz w:val="18"/>
          <w:szCs w:val="18"/>
        </w:rPr>
        <w:t xml:space="preserve">Beoordelaar: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 menselijke verantwoordelijkheid blijft verplicht; AI neemt geen automatische beslissingen over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Reviewgeschiedenis</w:t>
      </w:r>
    </w:p>
    <w:p>
      <w:pPr>
        <w:spacing w:after="60"/>
      </w:pPr>
      <w:r>
        <w:rPr>
          <w:sz w:val="19"/>
          <w:szCs w:val="19"/>
        </w:rPr>
        <w:t xml:space="preserve">Nog geen reviewbeslissingen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Bewijssamenvatting</w:t>
      </w:r>
    </w:p>
    <w:p>
      <w:pPr>
        <w:spacing w:after="20"/>
      </w:pPr>
      <w:r>
        <w:rPr>
          <w:b/>
          <w:sz w:val="18"/>
          <w:szCs w:val="18"/>
        </w:rPr>
        <w:t xml:space="preserve">Status van de bewijsketen: </w:t>
      </w:r>
      <w:r>
        <w:rPr>
          <w:sz w:val="18"/>
          <w:szCs w:val="18"/>
        </w:rPr>
        <w:t xml:space="preserve">ongeldig (vermoeden van manipulatie)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37</w:t>
      </w:r>
    </w:p>
    <w:p>
      <w:pPr>
        <w:spacing w:after="20"/>
      </w:pPr>
      <w:r>
        <w:rPr>
          <w:b/>
          <w:sz w:val="18"/>
          <w:szCs w:val="18"/>
        </w:rPr>
        <w:t xml:space="preserve">Verificatie geslaagd: </w:t>
      </w:r>
      <w:r>
        <w:rPr>
          <w:sz w:val="18"/>
          <w:szCs w:val="18"/>
        </w:rPr>
        <w:t xml:space="preserve">Nee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Gesimuleerde verankering (PageCipher-integratie in afwachting) — gemarkeerd als simulatie.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Tijdstempel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2026-08-31T04:57:55.926Z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ebd436d679fa…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2026-09-04T05:50:15.830Z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9d87617503c4…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2026-09-04T05:50:29.888Z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c1e554a9b49b…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2026-09-04T05:50:53.400Z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1f4e0d646c70…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2026-09-04T05:50:58.733Z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fcd89790d143…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2026-09-04T05:51:29.644Z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9a6a7acdbef4…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2026-09-04T05:51:53.834Z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5578f34ad692…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2026-09-04T06:47:56.467Z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c6e76d37a4f5…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2026-09-04T07:26:17.526Z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ad4f146e3f09…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6f4590bc33a9…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2026-09-04T07:26:49.867Z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da7af6e5ee0e…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2026-09-04T07:27:12.889Z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af3e35b3432f…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2026-09-04T07:27:13.018Z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07aaed1ab198…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2026-09-04T07:27:52.685Z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dd1f2b431249…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PageCipher-integratiestatus: </w:t>
      </w:r>
      <w:r>
        <w:rPr>
          <w:sz w:val="18"/>
          <w:szCs w:val="18"/>
        </w:rPr>
        <w:t xml:space="preserve">Actief (HTTP-koppeling met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32/37 Verankerd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PageCipher-ankerreferentie: </w:t>
      </w:r>
      <w:r>
        <w:rPr>
          <w:sz w:val="18"/>
          <w:szCs w:val="18"/>
        </w:rPr>
        <w:t xml:space="preserve">pagecipher:6f8f3933053ec615ecf400352e02ce55</w:t>
      </w:r>
    </w:p>
    <w:p>
      <w:pPr>
        <w:spacing w:after="20"/>
      </w:pPr>
      <w:r>
        <w:rPr>
          <w:b/>
          <w:sz w:val="18"/>
          <w:szCs w:val="18"/>
        </w:rPr>
        <w:t xml:space="preserve">Laatste ankerpoging: </w:t>
      </w:r>
      <w:r>
        <w:rPr>
          <w:sz w:val="18"/>
          <w:szCs w:val="18"/>
        </w:rPr>
        <w:t xml:space="preserve">2026-09-04T07:27:52.691Z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Het PageCipher-anker toont de integriteit en herkomst van het bewijs aan — het certificeert geen rechtsconformiteit.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Openstaande risico's en hiaten</w:t>
      </w:r>
    </w:p>
    <w:p>
      <w:pPr>
        <w:spacing w:after="60"/>
      </w:pPr>
      <w:r>
        <w:rPr>
          <w:sz w:val="19"/>
          <w:szCs w:val="19"/>
        </w:rPr>
        <w:t xml:space="preserve">Geen openstaande punten vastgelegd.</w:t>
      </w:r>
    </w:p>
    <w:p>
      <w:pPr>
        <w:spacing w:before="160" w:after="60"/>
      </w:pPr>
      <w:r>
        <w:rPr>
          <w:b/>
          <w:sz w:val="30"/>
          <w:szCs w:val="30"/>
        </w:rPr>
        <w:t xml:space="preserve">Juridische kennisgevingen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certificeert geen rechtsconformiteit.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risicoclassificatie is voorlopig en vervangt geen juridische beoordeling.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juridische beoordeling kan een gespecialiseerde juridische toetsing vereisen.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Dit rapport dient ter voorbereiding van governance en compliance op basis van bewijs. Het vormt geen juridisch advies, geen certificering en geen conformiteitsverklaring.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 menselijke verantwoordelijkheid blijft verplicht; AI neemt geen automatische beslissingen over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Bijlage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Controlecatalogus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Bron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Vindplaats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Toetsing op verboden praktijken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Risicomanagementsysteem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documentatie (nabij Bijlage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Transparantie &amp; markering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Menselijk toezicht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Nauwkeurigheid, robuustheid, cyberbeveiliging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Rechtmatigheid van de verwerking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Dataminimalisatie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Gegevensbeschermingseffectbeoordeling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Rechten van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AI-competentie van de betrokkenen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Toegangscontrole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Audit-/bewijsketen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Metagegevens van de generatie</w:t>
      </w:r>
    </w:p>
    <w:p>
      <w:pPr>
        <w:spacing w:after="20"/>
      </w:pPr>
      <w:r>
        <w:rPr>
          <w:b/>
          <w:sz w:val="18"/>
          <w:szCs w:val="18"/>
        </w:rPr>
        <w:t xml:space="preserve">Aangemaakt op: </w:t>
      </w:r>
      <w:r>
        <w:rPr>
          <w:sz w:val="18"/>
          <w:szCs w:val="18"/>
        </w:rPr>
        <w:t xml:space="preserve">2026-09-04T07:40:17.171Z</w:t>
      </w:r>
    </w:p>
    <w:p>
      <w:pPr>
        <w:spacing w:after="20"/>
      </w:pPr>
      <w:r>
        <w:rPr>
          <w:b/>
          <w:sz w:val="18"/>
          <w:szCs w:val="18"/>
        </w:rPr>
        <w:t xml:space="preserve">Versie: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Taaldekking: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Aantal evidence-gebeurtenissen: </w:t>
      </w:r>
      <w:r>
        <w:rPr>
          <w:sz w:val="18"/>
          <w:szCs w:val="18"/>
        </w:rPr>
        <w:t xml:space="preserve">1083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