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Relatório de governação — Indicação de tarefa de governação (SEOS)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preparação da governação, apoio à garantia (assurance) e evidência pronta para auditoria. Sem atestado de conformidade jurídica.</w:t>
      </w:r>
    </w:p>
    <w:p>
      <w:pPr>
        <w:spacing w:after="20"/>
      </w:pPr>
      <w:r>
        <w:rPr>
          <w:b/>
          <w:sz w:val="18"/>
          <w:szCs w:val="18"/>
        </w:rPr>
        <w:t xml:space="preserve">Produto: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Caso de uso: </w:t>
      </w:r>
      <w:r>
        <w:rPr>
          <w:sz w:val="18"/>
          <w:szCs w:val="18"/>
        </w:rPr>
        <w:t xml:space="preserve">uc_seos_001 (v1)</w:t>
      </w:r>
    </w:p>
    <w:p>
      <w:pPr>
        <w:spacing w:after="20"/>
      </w:pPr>
      <w:r>
        <w:rPr>
          <w:b/>
          <w:sz w:val="18"/>
          <w:szCs w:val="18"/>
        </w:rPr>
        <w:t xml:space="preserve">Sistema-fonte: </w:t>
      </w:r>
      <w:r>
        <w:rPr>
          <w:sz w:val="18"/>
          <w:szCs w:val="18"/>
        </w:rPr>
        <w:t xml:space="preserve">seos</w:t>
      </w:r>
    </w:p>
    <w:p>
      <w:pPr>
        <w:spacing w:after="20"/>
      </w:pPr>
      <w:r>
        <w:rPr>
          <w:b/>
          <w:sz w:val="18"/>
          <w:szCs w:val="18"/>
        </w:rPr>
        <w:t xml:space="preserve">Idioma: </w:t>
      </w:r>
      <w:r>
        <w:rPr>
          <w:sz w:val="18"/>
          <w:szCs w:val="18"/>
        </w:rPr>
        <w:t xml:space="preserve">PT</w:t>
      </w:r>
    </w:p>
    <w:p>
      <w:pPr>
        <w:spacing w:after="20"/>
      </w:pPr>
      <w:r>
        <w:rPr>
          <w:b/>
          <w:sz w:val="18"/>
          <w:szCs w:val="18"/>
        </w:rPr>
        <w:t xml:space="preserve">Modo de dados: </w:t>
      </w:r>
      <w:r>
        <w:rPr>
          <w:sz w:val="18"/>
          <w:szCs w:val="18"/>
        </w:rPr>
        <w:t xml:space="preserve">sintético</w:t>
      </w:r>
    </w:p>
    <w:p>
      <w:pPr>
        <w:spacing w:after="20"/>
      </w:pPr>
      <w:r>
        <w:rPr>
          <w:b/>
          <w:sz w:val="18"/>
          <w:szCs w:val="18"/>
        </w:rPr>
        <w:t xml:space="preserve">Criado em: </w:t>
      </w:r>
      <w:r>
        <w:rPr>
          <w:sz w:val="18"/>
          <w:szCs w:val="18"/>
        </w:rPr>
        <w:t xml:space="preserve">2026-09-04T05:50:29.877Z</w:t>
      </w:r>
    </w:p>
    <w:p>
      <w:pPr>
        <w:spacing w:after="20"/>
      </w:pPr>
      <w:r>
        <w:rPr>
          <w:b/>
          <w:sz w:val="18"/>
          <w:szCs w:val="18"/>
        </w:rPr>
        <w:t xml:space="preserve">Estado do relatório: </w:t>
      </w:r>
      <w:r>
        <w:rPr>
          <w:sz w:val="18"/>
          <w:szCs w:val="18"/>
        </w:rPr>
        <w:t xml:space="preserve">Classificado provisoriamente</w:t>
      </w:r>
    </w:p>
    <w:p>
      <w:pPr>
        <w:spacing w:after="20"/>
      </w:pPr>
      <w:r>
        <w:rPr>
          <w:b/>
          <w:sz w:val="18"/>
          <w:szCs w:val="18"/>
        </w:rPr>
        <w:t xml:space="preserve">Hash de integridade: </w:t>
      </w:r>
      <w:r>
        <w:rPr>
          <w:sz w:val="18"/>
          <w:szCs w:val="18"/>
        </w:rPr>
        <w:t xml:space="preserve">0f8af75b855b554f…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relatório baseia-se exclusivamente em dados sintéticos (operação-piloto). Sem dados pessoais reais.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relatório não certifica conformidade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Síntese para decisores</w:t>
      </w:r>
    </w:p>
    <w:p>
      <w:pPr>
        <w:spacing w:after="60"/>
      </w:pPr>
      <w:r>
        <w:rPr>
          <w:sz w:val="19"/>
          <w:szCs w:val="19"/>
        </w:rPr>
        <w:t xml:space="preserve">Classificação de metadados de tarefa sintéticos para avisos de revisão/reavaliação — SEOS permanece parceiro C6 externo.</w:t>
      </w:r>
    </w:p>
    <w:p>
      <w:pPr>
        <w:spacing w:after="20"/>
      </w:pPr>
      <w:r>
        <w:rPr>
          <w:b/>
          <w:sz w:val="18"/>
          <w:szCs w:val="18"/>
        </w:rPr>
        <w:t xml:space="preserve">Finalidade prevista: </w:t>
      </w:r>
      <w:r>
        <w:rPr>
          <w:sz w:val="18"/>
          <w:szCs w:val="18"/>
        </w:rPr>
        <w:t xml:space="preserve">Indicações de tarefas rastreáveis com responsabilidade humana — sem escalamento automático a pessoas.</w:t>
      </w:r>
    </w:p>
    <w:p>
      <w:pPr>
        <w:spacing w:after="20"/>
      </w:pPr>
      <w:r>
        <w:rPr>
          <w:b/>
          <w:sz w:val="18"/>
          <w:szCs w:val="18"/>
        </w:rPr>
        <w:t xml:space="preserve">Classe de risco preliminar: </w:t>
      </w:r>
      <w:r>
        <w:rPr>
          <w:sz w:val="18"/>
          <w:szCs w:val="18"/>
        </w:rPr>
        <w:t xml:space="preserve">Risco mínimo — documentação de base</w:t>
      </w:r>
    </w:p>
    <w:p>
      <w:pPr>
        <w:spacing w:after="20"/>
      </w:pPr>
      <w:r>
        <w:rPr>
          <w:b/>
          <w:sz w:val="18"/>
          <w:szCs w:val="18"/>
        </w:rPr>
        <w:t xml:space="preserve">Supervisão humana necessária: </w:t>
      </w:r>
      <w:r>
        <w:rPr>
          <w:sz w:val="18"/>
          <w:szCs w:val="18"/>
        </w:rPr>
        <w:t xml:space="preserve">Não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0/0 Controlos com evidência/verificados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designa o grau de preparação (evidências existentes/verificadas) — não certifica conformidade.</w:t>
      </w:r>
    </w:p>
    <w:p>
      <w:pPr>
        <w:spacing w:before="160" w:after="60"/>
      </w:pPr>
      <w:r>
        <w:rPr>
          <w:b/>
          <w:sz w:val="30"/>
          <w:szCs w:val="30"/>
        </w:rPr>
        <w:t xml:space="preserve">Perfil do caso de utilização</w:t>
      </w:r>
    </w:p>
    <w:p>
      <w:pPr>
        <w:spacing w:after="20"/>
      </w:pPr>
      <w:r>
        <w:rPr>
          <w:b/>
          <w:sz w:val="18"/>
          <w:szCs w:val="18"/>
        </w:rPr>
        <w:t xml:space="preserve">Finalidade prevista: </w:t>
      </w:r>
      <w:r>
        <w:rPr>
          <w:sz w:val="18"/>
          <w:szCs w:val="18"/>
        </w:rPr>
        <w:t xml:space="preserve">Indicações de tarefas rastreáveis com responsabilidade humana — sem escalamento automático a pessoas.</w:t>
      </w:r>
    </w:p>
    <w:p>
      <w:pPr>
        <w:spacing w:after="20"/>
      </w:pPr>
      <w:r>
        <w:rPr>
          <w:b/>
          <w:sz w:val="18"/>
          <w:szCs w:val="18"/>
        </w:rPr>
        <w:t xml:space="preserve">Grupos de pessoas afetadas: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Fontes de dados: </w:t>
      </w:r>
      <w:r>
        <w:rPr>
          <w:sz w:val="18"/>
          <w:szCs w:val="18"/>
        </w:rPr>
        <w:t xml:space="preserve">aufgabenmetadaten_synthetisch</w:t>
      </w:r>
    </w:p>
    <w:p>
      <w:pPr>
        <w:spacing w:after="20"/>
      </w:pPr>
      <w:r>
        <w:rPr>
          <w:b/>
          <w:sz w:val="18"/>
          <w:szCs w:val="18"/>
        </w:rPr>
        <w:t xml:space="preserve">Função de IA: </w:t>
      </w:r>
      <w:r>
        <w:rPr>
          <w:sz w:val="18"/>
          <w:szCs w:val="18"/>
        </w:rPr>
        <w:t xml:space="preserve">classification</w:t>
      </w:r>
    </w:p>
    <w:p>
      <w:pPr>
        <w:spacing w:after="20"/>
      </w:pPr>
      <w:r>
        <w:rPr>
          <w:b/>
          <w:sz w:val="18"/>
          <w:szCs w:val="18"/>
        </w:rPr>
        <w:t xml:space="preserve">Impactos possíveis: </w:t>
      </w:r>
      <w:r>
        <w:rPr>
          <w:sz w:val="18"/>
          <w:szCs w:val="18"/>
        </w:rPr>
        <w:t xml:space="preserve">operativ, nachvollziehbarkeit</w:t>
      </w:r>
    </w:p>
    <w:p>
      <w:pPr>
        <w:spacing w:after="20"/>
      </w:pPr>
      <w:r>
        <w:rPr>
          <w:b/>
          <w:sz w:val="18"/>
          <w:szCs w:val="18"/>
        </w:rPr>
        <w:t xml:space="preserve">Ordenamento jurídico: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Sistema-fonte: </w:t>
      </w:r>
      <w:r>
        <w:rPr>
          <w:sz w:val="18"/>
          <w:szCs w:val="18"/>
        </w:rPr>
        <w:t xml:space="preserve">seos</w:t>
      </w:r>
    </w:p>
    <w:p>
      <w:pPr>
        <w:spacing w:after="20"/>
      </w:pPr>
      <w:r>
        <w:rPr>
          <w:b/>
          <w:sz w:val="18"/>
          <w:szCs w:val="18"/>
        </w:rPr>
        <w:t xml:space="preserve">Estado do ciclo de vida: </w:t>
      </w:r>
      <w:r>
        <w:rPr>
          <w:sz w:val="18"/>
          <w:szCs w:val="18"/>
        </w:rPr>
        <w:t xml:space="preserve">Classificado provisoriamente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Avaliação de risco (preliminar)</w:t>
      </w:r>
    </w:p>
    <w:p>
      <w:pPr>
        <w:spacing w:after="20"/>
      </w:pPr>
      <w:r>
        <w:rPr>
          <w:b/>
          <w:sz w:val="18"/>
          <w:szCs w:val="18"/>
        </w:rPr>
        <w:t xml:space="preserve">Classe de risco preliminar: </w:t>
      </w:r>
      <w:r>
        <w:rPr>
          <w:sz w:val="18"/>
          <w:szCs w:val="18"/>
        </w:rPr>
        <w:t xml:space="preserve">Risco mínimo — documentação de base</w:t>
      </w:r>
    </w:p>
    <w:p>
      <w:pPr>
        <w:spacing w:after="20"/>
      </w:pPr>
      <w:r>
        <w:rPr>
          <w:b/>
          <w:sz w:val="18"/>
          <w:szCs w:val="18"/>
        </w:rPr>
        <w:t xml:space="preserve">Confiança da avaliação: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Conjunto de regras: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Análise humana necessária: </w:t>
      </w:r>
      <w:r>
        <w:rPr>
          <w:sz w:val="18"/>
          <w:szCs w:val="18"/>
        </w:rPr>
        <w:t xml:space="preserve">Não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classificação de risco é preliminar e não substitui uma avaliação jurídica.</w:t>
      </w:r>
    </w:p>
    <w:p>
      <w:pPr>
        <w:spacing w:before="160" w:after="60"/>
      </w:pPr>
      <w:r>
        <w:rPr>
          <w:b/>
          <w:sz w:val="25"/>
          <w:szCs w:val="25"/>
        </w:rPr>
        <w:t xml:space="preserve">Fundamentação (referência à regra)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R-BASE-00 — Nenhuma regra de risco acionada — documentação de base e reavaliação periódica.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Incerteza da avaliação</w:t>
      </w:r>
    </w:p>
    <w:p>
      <w:pPr>
        <w:spacing w:after="60"/>
      </w:pPr>
      <w:r>
        <w:rPr>
          <w:sz w:val="19"/>
          <w:szCs w:val="19"/>
        </w:rPr>
        <w:t xml:space="preserve">O conjunto de regras v0.1 utiliza heurísticas internas de verificação relativas ao EU AI Act, ao RGPD/GDPR, à DSG suíça e ao contexto do Reino Unido. A avaliação depende da completude dos dados do registry e não substitui uma análise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Visão geral de políticas e controlos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O estado do controlo documenta a verificação das evidências — não certifica conformidade.</w:t>
      </w:r>
    </w:p>
    <w:p>
      <w:pPr>
        <w:spacing w:after="60"/>
      </w:pPr>
      <w:r>
        <w:rPr>
          <w:sz w:val="19"/>
          <w:szCs w:val="19"/>
        </w:rPr>
        <w:t xml:space="preserve">O caso de utilização ainda não está classificado — os controlos só estão disponíveis após a classificação de risco.</w:t>
      </w:r>
    </w:p>
    <w:p>
      <w:pPr>
        <w:spacing w:before="160" w:after="60"/>
      </w:pPr>
      <w:r>
        <w:rPr>
          <w:b/>
          <w:sz w:val="30"/>
          <w:szCs w:val="30"/>
        </w:rPr>
        <w:t xml:space="preserve">Supervisão humana</w:t>
      </w:r>
    </w:p>
    <w:p>
      <w:pPr>
        <w:spacing w:after="20"/>
      </w:pPr>
      <w:r>
        <w:rPr>
          <w:b/>
          <w:sz w:val="18"/>
          <w:szCs w:val="18"/>
        </w:rPr>
        <w:t xml:space="preserve">Humano responsável: </w:t>
      </w:r>
      <w:r>
        <w:rPr>
          <w:sz w:val="18"/>
          <w:szCs w:val="18"/>
        </w:rPr>
        <w:t xml:space="preserve">Atribuição de supervisão pendente — antes da aprovação deve ser designado um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Pessoa revisora: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responsabilidade humana mantém-se obrigatória; a IA não toma decisões automáticas sobre pessoas.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Histórico de revisões</w:t>
      </w:r>
    </w:p>
    <w:p>
      <w:pPr>
        <w:spacing w:after="60"/>
      </w:pPr>
      <w:r>
        <w:rPr>
          <w:sz w:val="19"/>
          <w:szCs w:val="19"/>
        </w:rPr>
        <w:t xml:space="preserve">Ainda não foram registadas decisões de revisão.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Resumo de evidências</w:t>
      </w:r>
    </w:p>
    <w:p>
      <w:pPr>
        <w:spacing w:after="20"/>
      </w:pPr>
      <w:r>
        <w:rPr>
          <w:b/>
          <w:sz w:val="18"/>
          <w:szCs w:val="18"/>
        </w:rPr>
        <w:t xml:space="preserve">Estado da cadeia de evidências: </w:t>
      </w:r>
      <w:r>
        <w:rPr>
          <w:sz w:val="18"/>
          <w:szCs w:val="18"/>
        </w:rPr>
        <w:t xml:space="preserve">inválida (suspeita de manipulação)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evidência: </w:t>
      </w:r>
      <w:r>
        <w:rPr>
          <w:sz w:val="18"/>
          <w:szCs w:val="18"/>
        </w:rPr>
        <w:t xml:space="preserve">25</w:t>
      </w:r>
    </w:p>
    <w:p>
      <w:pPr>
        <w:spacing w:after="20"/>
      </w:pPr>
      <w:r>
        <w:rPr>
          <w:b/>
          <w:sz w:val="18"/>
          <w:szCs w:val="18"/>
        </w:rPr>
        <w:t xml:space="preserve">Verificação aprovada: </w:t>
      </w:r>
      <w:r>
        <w:rPr>
          <w:sz w:val="18"/>
          <w:szCs w:val="18"/>
        </w:rPr>
        <w:t xml:space="preserve">Não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Ancoragem simulada (integração com o PageCipher pendente) — identificada como simulação.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Carimbo temporal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Ação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242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2026-08-31T04:50:47.072Z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4e64c2b5d0b5…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244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2026-08-31T04:50:47.530Z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832b5b0feecb…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246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2026-08-31T04:50:48.036Z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0e0ac7ef06f0…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248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2026-08-31T04:50:48.531Z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c67d4bcb4015…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250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2026-08-31T04:50:49.064Z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ad0f406b1929…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252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2026-08-31T04:50:49.516Z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e5d4bf0e8cf7…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254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2026-08-31T04:50:50.071Z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6de57e974a49…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276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2026-08-31T04:50:56.047Z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451300a8dc7c…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278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2026-08-31T04:50:56.566Z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c79a9163b052…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280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2026-08-31T04:50:57.538Z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5795c8568fa5…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282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2026-08-31T04:50:58.036Z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1c44c8ac62f7…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284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2026-08-31T04:50:58.566Z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ad8a0570daef…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316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2026-08-31T04:57:55.926Z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ebd436d679fa…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744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2026-09-04T05:50:15.830Z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9d87617503c4…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Estado da âncora PageCipher</w:t>
      </w:r>
    </w:p>
    <w:p>
      <w:pPr>
        <w:spacing w:after="20"/>
      </w:pPr>
      <w:r>
        <w:rPr>
          <w:b/>
          <w:sz w:val="18"/>
          <w:szCs w:val="18"/>
        </w:rPr>
        <w:t xml:space="preserve">Estado de integração PageCipher: </w:t>
      </w:r>
      <w:r>
        <w:rPr>
          <w:sz w:val="18"/>
          <w:szCs w:val="18"/>
        </w:rPr>
        <w:t xml:space="preserve">Ativo (integração HTTP com o PageCipher)</w:t>
      </w:r>
    </w:p>
    <w:p>
      <w:pPr>
        <w:spacing w:after="20"/>
      </w:pPr>
      <w:r>
        <w:rPr>
          <w:b/>
          <w:sz w:val="18"/>
          <w:szCs w:val="18"/>
        </w:rPr>
        <w:t xml:space="preserve">Estado da âncora PageCipher: </w:t>
      </w:r>
      <w:r>
        <w:rPr>
          <w:sz w:val="18"/>
          <w:szCs w:val="18"/>
        </w:rPr>
        <w:t xml:space="preserve">20/25 Ancorado</w:t>
      </w:r>
    </w:p>
    <w:p>
      <w:pPr>
        <w:spacing w:after="20"/>
      </w:pPr>
      <w:r>
        <w:rPr>
          <w:b/>
          <w:sz w:val="18"/>
          <w:szCs w:val="18"/>
        </w:rPr>
        <w:t xml:space="preserve">Referência da âncora PageCipher: </w:t>
      </w:r>
      <w:r>
        <w:rPr>
          <w:sz w:val="18"/>
          <w:szCs w:val="18"/>
        </w:rPr>
        <w:t xml:space="preserve">pagecipher:6f8f3933053ec615ecf400352e02ce55</w:t>
      </w:r>
    </w:p>
    <w:p>
      <w:pPr>
        <w:spacing w:after="20"/>
      </w:pPr>
      <w:r>
        <w:rPr>
          <w:b/>
          <w:sz w:val="18"/>
          <w:szCs w:val="18"/>
        </w:rPr>
        <w:t xml:space="preserve">Última tentativa de ancoragem: </w:t>
      </w:r>
      <w:r>
        <w:rPr>
          <w:sz w:val="18"/>
          <w:szCs w:val="18"/>
        </w:rPr>
        <w:t xml:space="preserve">2026-09-04T05:50:15.840Z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âncora PageCipher comprova a integridade e a origem da evidência — não certifica conformidade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Riscos e lacunas em aberto</w:t>
      </w:r>
    </w:p>
    <w:p>
      <w:pPr>
        <w:spacing w:after="60"/>
      </w:pPr>
      <w:r>
        <w:rPr>
          <w:sz w:val="19"/>
          <w:szCs w:val="19"/>
        </w:rPr>
        <w:t xml:space="preserve">Nenhum ponto em aberto registado.</w:t>
      </w:r>
    </w:p>
    <w:p>
      <w:pPr>
        <w:spacing w:before="160" w:after="60"/>
      </w:pPr>
      <w:r>
        <w:rPr>
          <w:b/>
          <w:sz w:val="30"/>
          <w:szCs w:val="30"/>
        </w:rPr>
        <w:t xml:space="preserve">Avisos legais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relatório não certifica conformidade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classificação de risco é preliminar e não substitui uma avaliação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avaliação jurídica pode exigir uma análise jurídica especializada.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relatório destina-se à preparação de governação e conformidade com base em evidências. Não constitui aconselhamento jurídico, certificação nem atestado de conformidade.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responsabilidade humana mantém-se obrigatória; a IA não toma decisões automáticas sobre pessoas.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Anexo</w:t>
      </w:r>
    </w:p>
    <w:p>
      <w:pPr>
        <w:spacing w:before="160" w:after="60"/>
      </w:pPr>
      <w:r>
        <w:rPr>
          <w:b/>
          <w:sz w:val="25"/>
          <w:szCs w:val="25"/>
        </w:rPr>
        <w:t xml:space="preserve">Catálogo de controlos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Controlo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Fonte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Referência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Verificação de práticas proibidas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de gestão de risco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Governação de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Documentação técnica (próxima do Anexo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Registo de eventos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Transparência e identificação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Supervisão humana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Exatidão, robustez, cibersegurança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Licitude do tratamento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Minimização dos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Avaliação de impacto sobre a proteção de dados (AIPD)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Direitos dos titulares dos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Monitorização de enviesamentos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Literacia em IA dos intervenientes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Controlo de acessos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Cadeia de auditoria/evidências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Metadados de geração</w:t>
      </w:r>
    </w:p>
    <w:p>
      <w:pPr>
        <w:spacing w:after="20"/>
      </w:pPr>
      <w:r>
        <w:rPr>
          <w:b/>
          <w:sz w:val="18"/>
          <w:szCs w:val="18"/>
        </w:rPr>
        <w:t xml:space="preserve">Criado em: </w:t>
      </w:r>
      <w:r>
        <w:rPr>
          <w:sz w:val="18"/>
          <w:szCs w:val="18"/>
        </w:rPr>
        <w:t xml:space="preserve">2026-09-04T05:50:29.877Z</w:t>
      </w:r>
    </w:p>
    <w:p>
      <w:pPr>
        <w:spacing w:after="20"/>
      </w:pPr>
      <w:r>
        <w:rPr>
          <w:b/>
          <w:sz w:val="18"/>
          <w:szCs w:val="18"/>
        </w:rPr>
        <w:t xml:space="preserve">Versão: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Cobertura linguística: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evidência: </w:t>
      </w:r>
      <w:r>
        <w:rPr>
          <w:sz w:val="18"/>
          <w:szCs w:val="18"/>
        </w:rPr>
        <w:t xml:space="preserve">745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