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Report di governance — Assistenza capacità/staffing (SpaceMyTime)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preparazione alla governance, supporto all'assurance ed evidenze audit-ready. Nessuna attestazione di conformità giuridica.</w:t>
      </w:r>
    </w:p>
    <w:p>
      <w:pPr>
        <w:spacing w:after="20"/>
      </w:pPr>
      <w:r>
        <w:rPr>
          <w:b/>
          <w:sz w:val="18"/>
          <w:szCs w:val="18"/>
        </w:rPr>
        <w:t xml:space="preserve">Prodotto: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Use Case: </w:t>
      </w:r>
      <w:r>
        <w:rPr>
          <w:sz w:val="18"/>
          <w:szCs w:val="18"/>
        </w:rPr>
        <w:t xml:space="preserve">uc_smt_001 (v1)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Lingua: </w:t>
      </w:r>
      <w:r>
        <w:rPr>
          <w:sz w:val="18"/>
          <w:szCs w:val="18"/>
        </w:rPr>
        <w:t xml:space="preserve">IT</w:t>
      </w:r>
    </w:p>
    <w:p>
      <w:pPr>
        <w:spacing w:after="20"/>
      </w:pPr>
      <w:r>
        <w:rPr>
          <w:b/>
          <w:sz w:val="18"/>
          <w:szCs w:val="18"/>
        </w:rPr>
        <w:t xml:space="preserve">Modalità dati: </w:t>
      </w:r>
      <w:r>
        <w:rPr>
          <w:sz w:val="18"/>
          <w:szCs w:val="18"/>
        </w:rPr>
        <w:t xml:space="preserve">sintetico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2026-09-04T07:27:53.745Z</w:t>
      </w:r>
    </w:p>
    <w:p>
      <w:pPr>
        <w:spacing w:after="20"/>
      </w:pPr>
      <w:r>
        <w:rPr>
          <w:b/>
          <w:sz w:val="18"/>
          <w:szCs w:val="18"/>
        </w:rPr>
        <w:t xml:space="preserve">Stato del report: </w:t>
      </w:r>
      <w:r>
        <w:rPr>
          <w:sz w:val="18"/>
          <w:szCs w:val="18"/>
        </w:rPr>
        <w:t xml:space="preserve">Classificato in via preliminare</w:t>
      </w:r>
    </w:p>
    <w:p>
      <w:pPr>
        <w:spacing w:after="20"/>
      </w:pPr>
      <w:r>
        <w:rPr>
          <w:b/>
          <w:sz w:val="18"/>
          <w:szCs w:val="18"/>
        </w:rPr>
        <w:t xml:space="preserve">Hash di integrità: </w:t>
      </w:r>
      <w:r>
        <w:rPr>
          <w:sz w:val="18"/>
          <w:szCs w:val="18"/>
        </w:rPr>
        <w:t xml:space="preserve">710020c043fe1715…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si basa esclusivamente su dati sintetici (esercizio pilota). Nessun dato personale reale.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Il presente report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per i decisori</w:t>
      </w:r>
    </w:p>
    <w:p>
      <w:pPr>
        <w:spacing w:after="60"/>
      </w:pPr>
      <w:r>
        <w:rPr>
          <w:sz w:val="19"/>
          <w:szCs w:val="19"/>
        </w:rPr>
        <w:t xml:space="preserve">Raccomandazioni su capacità di progetto e competenze — solo dati di progetto sintetici aggregati, nessun profilo personale.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capacità revisionate da umani per la pianificazione — nessun assegnamento automatico.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Supervisione umana necessaria: </w:t>
      </w:r>
      <w:r>
        <w:rPr>
          <w:sz w:val="18"/>
          <w:szCs w:val="18"/>
        </w:rPr>
        <w:t xml:space="preserve">No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1/2 Controlli con prova/verificati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Governance Readiness indica il grado di preparazione (prove presenti/verificate) — non certifica alcuna conformità.</w:t>
      </w:r>
    </w:p>
    <w:p>
      <w:pPr>
        <w:spacing w:before="160" w:after="60"/>
      </w:pPr>
      <w:r>
        <w:rPr>
          <w:b/>
          <w:sz w:val="30"/>
          <w:szCs w:val="30"/>
        </w:rPr>
        <w:t xml:space="preserve">Profilo del caso d'uso</w:t>
      </w:r>
    </w:p>
    <w:p>
      <w:pPr>
        <w:spacing w:after="20"/>
      </w:pPr>
      <w:r>
        <w:rPr>
          <w:b/>
          <w:sz w:val="18"/>
          <w:szCs w:val="18"/>
        </w:rPr>
        <w:t xml:space="preserve">Finalità prevista: </w:t>
      </w:r>
      <w:r>
        <w:rPr>
          <w:sz w:val="18"/>
          <w:szCs w:val="18"/>
        </w:rPr>
        <w:t xml:space="preserve">Indicazioni di capacità revisionate da umani per la pianificazione — nessun assegnamento automatico.</w:t>
      </w:r>
    </w:p>
    <w:p>
      <w:pPr>
        <w:spacing w:after="20"/>
      </w:pPr>
      <w:r>
        <w:rPr>
          <w:b/>
          <w:sz w:val="18"/>
          <w:szCs w:val="18"/>
        </w:rPr>
        <w:t xml:space="preserve">Gruppi di persone interessate: </w:t>
      </w:r>
      <w:r>
        <w:rPr>
          <w:sz w:val="18"/>
          <w:szCs w:val="18"/>
        </w:rPr>
        <w:t xml:space="preserve">—</w:t>
      </w:r>
    </w:p>
    <w:p>
      <w:pPr>
        <w:spacing w:after="20"/>
      </w:pPr>
      <w:r>
        <w:rPr>
          <w:b/>
          <w:sz w:val="18"/>
          <w:szCs w:val="18"/>
        </w:rPr>
        <w:t xml:space="preserve">Fonti di dati: </w:t>
      </w:r>
      <w:r>
        <w:rPr>
          <w:sz w:val="18"/>
          <w:szCs w:val="18"/>
        </w:rPr>
        <w:t xml:space="preserve">projektdaten_aggregiert_synthetisch, skill_bedarf_kategorien</w:t>
      </w:r>
    </w:p>
    <w:p>
      <w:pPr>
        <w:spacing w:after="20"/>
      </w:pPr>
      <w:r>
        <w:rPr>
          <w:b/>
          <w:sz w:val="18"/>
          <w:szCs w:val="18"/>
        </w:rPr>
        <w:t xml:space="preserve">Funzione di IA: </w:t>
      </w:r>
      <w:r>
        <w:rPr>
          <w:sz w:val="18"/>
          <w:szCs w:val="18"/>
        </w:rPr>
        <w:t xml:space="preserve">recommendation, analysis</w:t>
      </w:r>
    </w:p>
    <w:p>
      <w:pPr>
        <w:spacing w:after="20"/>
      </w:pPr>
      <w:r>
        <w:rPr>
          <w:b/>
          <w:sz w:val="18"/>
          <w:szCs w:val="18"/>
        </w:rPr>
        <w:t xml:space="preserve">Impatti possibili: </w:t>
      </w:r>
      <w:r>
        <w:rPr>
          <w:sz w:val="18"/>
          <w:szCs w:val="18"/>
        </w:rPr>
        <w:t xml:space="preserve">operativ</w:t>
      </w:r>
    </w:p>
    <w:p>
      <w:pPr>
        <w:spacing w:after="20"/>
      </w:pPr>
      <w:r>
        <w:rPr>
          <w:b/>
          <w:sz w:val="18"/>
          <w:szCs w:val="18"/>
        </w:rPr>
        <w:t xml:space="preserve">Ambito giuridico: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 sorgente: </w:t>
      </w:r>
      <w:r>
        <w:rPr>
          <w:sz w:val="18"/>
          <w:szCs w:val="18"/>
        </w:rPr>
        <w:t xml:space="preserve">spacemytime</w:t>
      </w:r>
    </w:p>
    <w:p>
      <w:pPr>
        <w:spacing w:after="20"/>
      </w:pPr>
      <w:r>
        <w:rPr>
          <w:b/>
          <w:sz w:val="18"/>
          <w:szCs w:val="18"/>
        </w:rPr>
        <w:t xml:space="preserve">Stato del ciclo di vita: </w:t>
      </w:r>
      <w:r>
        <w:rPr>
          <w:sz w:val="18"/>
          <w:szCs w:val="18"/>
        </w:rPr>
        <w:t xml:space="preserve">Classificato in via preliminare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Valutazione del rischio (preliminare)</w:t>
      </w:r>
    </w:p>
    <w:p>
      <w:pPr>
        <w:spacing w:after="20"/>
      </w:pPr>
      <w:r>
        <w:rPr>
          <w:b/>
          <w:sz w:val="18"/>
          <w:szCs w:val="18"/>
        </w:rPr>
        <w:t xml:space="preserve">Classe di rischio preliminare: </w:t>
      </w:r>
      <w:r>
        <w:rPr>
          <w:sz w:val="18"/>
          <w:szCs w:val="18"/>
        </w:rPr>
        <w:t xml:space="preserve">Rischio limitato — verificare gli obblighi di trasparenza</w:t>
      </w:r>
    </w:p>
    <w:p>
      <w:pPr>
        <w:spacing w:after="20"/>
      </w:pPr>
      <w:r>
        <w:rPr>
          <w:b/>
          <w:sz w:val="18"/>
          <w:szCs w:val="18"/>
        </w:rPr>
        <w:t xml:space="preserve">Livello di confidenza della valutazione: </w:t>
      </w:r>
      <w:r>
        <w:rPr>
          <w:sz w:val="18"/>
          <w:szCs w:val="18"/>
        </w:rPr>
        <w:t xml:space="preserve">high</w:t>
      </w:r>
    </w:p>
    <w:p>
      <w:pPr>
        <w:spacing w:after="20"/>
      </w:pPr>
      <w:r>
        <w:rPr>
          <w:b/>
          <w:sz w:val="18"/>
          <w:szCs w:val="18"/>
        </w:rPr>
        <w:t xml:space="preserve">Set di regole: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Verifica umana necessaria: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classificazione del rischio è preliminare e non sostituisce una valutazione giuridica.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Motivazione (riferimento alla regola)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Funzione di IA generativa o di raccomandazione — vanno verificati gli obblighi di trasparenza ed etichettatura.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Misure di mitigazione del rischio raccomandate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Contrassegnare come tali i contenuti generati dall'IA; escalation a un essere umano possibile in qualsiasi momento.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Incertezza della valutazione</w:t>
      </w:r>
    </w:p>
    <w:p>
      <w:pPr>
        <w:spacing w:after="60"/>
      </w:pPr>
      <w:r>
        <w:rPr>
          <w:sz w:val="19"/>
          <w:szCs w:val="19"/>
        </w:rPr>
        <w:t xml:space="preserve">Il set di regole v0.1 opera con euristiche di verifica interne relative a EU AI Act, GDPR, DSG svizzero e contesto britannico. La valutazione dipende dalla completezza dei dati della Registry e non sostituisce un esame giuridico.</w:t>
      </w:r>
    </w:p>
    <w:p>
      <w:pPr>
        <w:spacing w:before="160" w:after="60"/>
      </w:pPr>
      <w:r>
        <w:rPr>
          <w:b/>
          <w:sz w:val="30"/>
          <w:szCs w:val="30"/>
        </w:rPr>
        <w:t xml:space="preserve">Panoramica di policy e controlli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Lo stato del controllo documenta la verifica delle prove — non certifica alcuna conformità.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Stato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Prove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Prova allegata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Aperto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Lacune aperte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Competenza in materia di IA delle persone coinvolte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Supervisione umana</w:t>
      </w:r>
    </w:p>
    <w:p>
      <w:pPr>
        <w:spacing w:after="20"/>
      </w:pPr>
      <w:r>
        <w:rPr>
          <w:b/>
          <w:sz w:val="18"/>
          <w:szCs w:val="18"/>
        </w:rPr>
        <w:t xml:space="preserve">Persona responsabile: </w:t>
      </w:r>
      <w:r>
        <w:rPr>
          <w:sz w:val="18"/>
          <w:szCs w:val="18"/>
        </w:rPr>
        <w:t xml:space="preserve">Assegnazione dell'oversight in sospeso — prima dell'approvazione va designato un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Persona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La responsabilità umana rimane obbligatoria; l'IA non prende decisioni automatiche sulle persone.</w:t>
      </w:r>
    </w:p>
    <w:p>
      <w:pPr>
        <w:spacing w:before="160" w:after="60"/>
      </w:pPr>
      <w:r>
        <w:rPr>
          <w:b/>
          <w:sz w:val="25"/>
          <w:szCs w:val="25"/>
        </w:rPr>
        <w:t xml:space="preserve">Cronologia delle revisioni</w:t>
      </w:r>
    </w:p>
    <w:p>
      <w:pPr>
        <w:spacing w:after="60"/>
      </w:pPr>
      <w:r>
        <w:rPr>
          <w:sz w:val="19"/>
          <w:szCs w:val="19"/>
        </w:rPr>
        <w:t xml:space="preserve">Nessuna decisione di revisione ancora registrata.</w:t>
      </w:r>
    </w:p>
    <w:p>
      <w:pPr>
        <w:spacing w:before="160" w:after="60"/>
      </w:pPr>
      <w:r>
        <w:rPr>
          <w:b/>
          <w:sz w:val="30"/>
          <w:szCs w:val="30"/>
        </w:rPr>
        <w:t xml:space="preserve">Sintesi delle evidenze</w:t>
      </w:r>
    </w:p>
    <w:p>
      <w:pPr>
        <w:spacing w:after="20"/>
      </w:pPr>
      <w:r>
        <w:rPr>
          <w:b/>
          <w:sz w:val="18"/>
          <w:szCs w:val="18"/>
        </w:rPr>
        <w:t xml:space="preserve">Stato della catena di evidenze: </w:t>
      </w:r>
      <w:r>
        <w:rPr>
          <w:sz w:val="18"/>
          <w:szCs w:val="18"/>
        </w:rPr>
        <w:t xml:space="preserve">non valida (sospetta manomissione)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28</w:t>
      </w:r>
    </w:p>
    <w:p>
      <w:pPr>
        <w:spacing w:after="20"/>
      </w:pPr>
      <w:r>
        <w:rPr>
          <w:b/>
          <w:sz w:val="18"/>
          <w:szCs w:val="18"/>
        </w:rPr>
        <w:t xml:space="preserve">Verifica superata: </w:t>
      </w:r>
      <w:r>
        <w:rPr>
          <w:sz w:val="18"/>
          <w:szCs w:val="18"/>
        </w:rPr>
        <w:t xml:space="preserve">No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Ancoraggio simulato (integrazione PageCipher in sospeso) — contrassegnato come simulazione.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Marca temporale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Actor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Azione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2026-08-31T04:58:14.999Z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1712401611f5…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2026-08-31T04:58:15.964Z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a8b05df6af9a…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336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2026-08-31T04:58:16.473Z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441fdfcbfab1…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2026-08-31T04:58:18.941Z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975bb0bd9395…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2026-08-31T04:58:19.507Z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e4a34d22239b…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356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2026-08-31T04:58:21.498Z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f04a7e36170a…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364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2026-08-31T04:58:23.510Z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d2d1975156dd…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2026-08-31T04:58:24.991Z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9218aa6d858b…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732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2026-09-04T05:43:04.552Z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584406c640c6…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2026-09-04T06:41:47.644Z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761b759f514f…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820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2026-09-04T06:42:42.118Z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8c71c2e5b789…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2026-09-04T06:48:11.719Z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99ea852371d9…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866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2026-09-04T06:48:26.733Z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78a92fba835b…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872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2026-09-04T06:48:47.959Z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810f68b829f3…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Stato dell'ancora PageCipher</w:t>
      </w:r>
    </w:p>
    <w:p>
      <w:pPr>
        <w:spacing w:after="20"/>
      </w:pPr>
      <w:r>
        <w:rPr>
          <w:b/>
          <w:sz w:val="18"/>
          <w:szCs w:val="18"/>
        </w:rPr>
        <w:t xml:space="preserve">Stato dell'integrazione PageCipher: </w:t>
      </w:r>
      <w:r>
        <w:rPr>
          <w:sz w:val="18"/>
          <w:szCs w:val="18"/>
        </w:rPr>
        <w:t xml:space="preserve">Attivo (integrazione HTTP con PageCipher)</w:t>
      </w:r>
    </w:p>
    <w:p>
      <w:pPr>
        <w:spacing w:after="20"/>
      </w:pPr>
      <w:r>
        <w:rPr>
          <w:b/>
          <w:sz w:val="18"/>
          <w:szCs w:val="18"/>
        </w:rPr>
        <w:t xml:space="preserve">Stato dell'ancora PageCipher: </w:t>
      </w:r>
      <w:r>
        <w:rPr>
          <w:sz w:val="18"/>
          <w:szCs w:val="18"/>
        </w:rPr>
        <w:t xml:space="preserve">22/28 Ancorato</w:t>
      </w:r>
    </w:p>
    <w:p>
      <w:pPr>
        <w:spacing w:after="20"/>
      </w:pPr>
      <w:r>
        <w:rPr>
          <w:b/>
          <w:sz w:val="18"/>
          <w:szCs w:val="18"/>
        </w:rPr>
        <w:t xml:space="preserve">Riferimento dell'ancora PageCipher: </w:t>
      </w:r>
      <w:r>
        <w:rPr>
          <w:sz w:val="18"/>
          <w:szCs w:val="18"/>
        </w:rPr>
        <w:t xml:space="preserve">pagecipher:d7abecc1faedc55b865f0c2f13b2ac40</w:t>
      </w:r>
    </w:p>
    <w:p>
      <w:pPr>
        <w:spacing w:after="20"/>
      </w:pPr>
      <w:r>
        <w:rPr>
          <w:b/>
          <w:sz w:val="18"/>
          <w:szCs w:val="18"/>
        </w:rPr>
        <w:t xml:space="preserve">Ultimo tentativo di ancoraggio: </w:t>
      </w:r>
      <w:r>
        <w:rPr>
          <w:sz w:val="18"/>
          <w:szCs w:val="18"/>
        </w:rPr>
        <w:t xml:space="preserve">2026-09-04T06:48:47.964Z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L'ancora PageCipher attesta l'integrità e la provenienza delle evidenze — non certifica alcuna conformità giuridica.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Rischi e lacune aperti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 controlli aperti senza prova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Avvertenze legali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non certifica alcuna conformità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classificazione del rischio è preliminare e non sostituisce una valutazione giuridica.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valutazione giuridica può richiedere un esame legale specializzato.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Il presente report serve alla preparazione alla governance e alla compliance su base probatoria. Non costituisce consulenza legale, certificazione né attestazione di conformità.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La responsabilità umana rimane obbligatoria; l'IA non prende decisioni automatiche sulle persone.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Appendice</w:t>
      </w:r>
    </w:p>
    <w:p>
      <w:pPr>
        <w:spacing w:before="160" w:after="60"/>
      </w:pPr>
      <w:r>
        <w:rPr>
          <w:b/>
          <w:sz w:val="25"/>
          <w:szCs w:val="25"/>
        </w:rPr>
        <w:t xml:space="preserve">Catalogo dei controlli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Riferimento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 delle pratiche vietate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di gestione del rischio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Data governance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Documentazione tecnica (simile all'Allegato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Registrazione dei log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Trasparenza ed etichettatura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Supervisione 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Accuratezza, robustezza, cybersicurezza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Liceità del trattamento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Minimizzazione dei dati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Valutazione d'impatto sulla protezione dei dati (DPIA)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Diritti degli interessati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Monitoraggio dei bias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Competenza in materia di IA delle persone coinvolte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Controllo degli accessi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Catena di audit/evidenze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Metadati di generazione</w:t>
      </w:r>
    </w:p>
    <w:p>
      <w:pPr>
        <w:spacing w:after="20"/>
      </w:pPr>
      <w:r>
        <w:rPr>
          <w:b/>
          <w:sz w:val="18"/>
          <w:szCs w:val="18"/>
        </w:rPr>
        <w:t xml:space="preserve">Creato il: </w:t>
      </w:r>
      <w:r>
        <w:rPr>
          <w:sz w:val="18"/>
          <w:szCs w:val="18"/>
        </w:rPr>
        <w:t xml:space="preserve">2026-09-04T07:27:53.745Z</w:t>
      </w:r>
    </w:p>
    <w:p>
      <w:pPr>
        <w:spacing w:after="20"/>
      </w:pPr>
      <w:r>
        <w:rPr>
          <w:b/>
          <w:sz w:val="18"/>
          <w:szCs w:val="18"/>
        </w:rPr>
        <w:t xml:space="preserve">Versione: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Copertura linguistica: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Numero di eventi di evidenza: </w:t>
      </w:r>
      <w:r>
        <w:rPr>
          <w:sz w:val="18"/>
          <w:szCs w:val="18"/>
        </w:rPr>
        <w:t xml:space="preserve">1015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